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iso9001体系文件套包39记录填写与归档作业指导书"/>
      <w:r>
        <w:t xml:space="preserve">ISO9001体系文件套包（39）｜记录填写与归档作业指导书</w:t>
      </w:r>
      <w:bookmarkEnd w:id="20"/>
    </w:p>
    <w:p>
      <w:pPr>
        <w:pStyle w:val="FirstParagraph"/>
      </w:pPr>
      <w:r>
        <w:rPr>
          <w:b/>
        </w:rPr>
        <w:t xml:space="preserve">文件说明</w:t>
      </w:r>
      <w:r>
        <w:t xml:space="preserve">：本指导书是《记录控制程序》（套包第 4 篇）的三级配套作业文件，用于把 ISO 9001:2015 第 7.5.3 条</w:t>
      </w:r>
      <w:r>
        <w:t xml:space="preserve">“</w:t>
      </w:r>
      <w:r>
        <w:t xml:space="preserve">成文信息的控制</w:t>
      </w:r>
      <w:r>
        <w:t xml:space="preserve">”</w:t>
      </w:r>
      <w:r>
        <w:t xml:space="preserve">中关于</w:t>
      </w:r>
      <w:r>
        <w:t xml:space="preserve">“</w:t>
      </w:r>
      <w:r>
        <w:t xml:space="preserve">记录</w:t>
      </w:r>
      <w:r>
        <w:t xml:space="preserve">”</w:t>
      </w:r>
      <w:r>
        <w:t xml:space="preserve">的要求，从</w:t>
      </w:r>
      <w:r>
        <w:t xml:space="preserve">“</w:t>
      </w:r>
      <w:r>
        <w:t xml:space="preserve">记录要受控</w:t>
      </w:r>
      <w:r>
        <w:t xml:space="preserve">”</w:t>
      </w:r>
      <w:r>
        <w:t xml:space="preserve">落到</w:t>
      </w:r>
      <w:r>
        <w:t xml:space="preserve">“</w:t>
      </w:r>
      <w:r>
        <w:t xml:space="preserve">现场这一笔怎么写、这一页什么时候收、这些册子放哪里、保存到期怎么鉴定销毁</w:t>
      </w:r>
      <w:r>
        <w:t xml:space="preserve">”</w:t>
      </w:r>
      <w:r>
        <w:t xml:space="preserve">。二级程序文件回答的是记录分几类、谁归口管理、保存期限怎么定、作废与销毁怎么管；本指导书回答的是记录生命周期中两段最容易出错的现场动作——</w:t>
      </w:r>
      <w:r>
        <w:rPr>
          <w:b/>
        </w:rPr>
        <w:t xml:space="preserve">填写</w:t>
      </w:r>
      <w:r>
        <w:t xml:space="preserve">与</w:t>
      </w:r>
      <w:r>
        <w:rPr>
          <w:b/>
        </w:rPr>
        <w:t xml:space="preserve">归档</w:t>
      </w:r>
      <w:r>
        <w:t xml:space="preserve">：什么笔能写、写错了怎么改、空格怎么处理、当天收还是月底收、由谁收集、怎么编目录、装订成册还是按单归夹、放在什么环境里、顾客和认证机构要查阅怎么借。适用于全部已建立或正在建立质量管理体系的制造与服务型企业（机械加工、电子装配、食品日化、纺织服装、建材五金、工程服务、第三方检测等）。对无专职资料员的中小企业，可将第 3 章中的资料员职责并入质量部内勤与各部门班长，归档动作改为</w:t>
      </w:r>
      <w:r>
        <w:t xml:space="preserve">“</w:t>
      </w:r>
      <w:r>
        <w:t xml:space="preserve">当班自查、每日集中归档</w:t>
      </w:r>
      <w:r>
        <w:t xml:space="preserve">”</w:t>
      </w:r>
      <w:r>
        <w:t xml:space="preserve">，记录逻辑与判定要求不变。本文件可直接作为企业三级文件发布使用。</w:t>
      </w:r>
    </w:p>
    <w:p>
      <w:pPr>
        <w:pStyle w:val="Heading2"/>
      </w:pPr>
      <w:bookmarkStart w:id="21" w:name="一目的"/>
      <w:r>
        <w:t xml:space="preserve">一、目的</w:t>
      </w:r>
      <w:bookmarkEnd w:id="21"/>
    </w:p>
    <w:p>
      <w:pPr>
        <w:pStyle w:val="FirstParagraph"/>
      </w:pPr>
      <w:r>
        <w:t xml:space="preserve">为规范本公司质量管理体系记录（含纸质记录与电子记录）的填写要求、更正方式、收集时点、整理标识、归档方法、保管保护、借阅检索、保管期限届满分批鉴定与销毁等各环节的作业要求，明确填写人、见证人、收集人、归档人、保管人的职责分工与时限，确保记录具备</w:t>
      </w:r>
      <w:r>
        <w:rPr>
          <w:b/>
        </w:rPr>
        <w:t xml:space="preserve">真实性、及时性、完整性、可追溯性与可检索性</w:t>
      </w:r>
      <w:r>
        <w:t xml:space="preserve">，做到</w:t>
      </w:r>
      <w:r>
        <w:t xml:space="preserve">“</w:t>
      </w:r>
      <w:r>
        <w:t xml:space="preserve">随时要得到、拿到看得懂、看懂能追责</w:t>
      </w:r>
      <w:r>
        <w:t xml:space="preserve">”</w:t>
      </w:r>
      <w:r>
        <w:t xml:space="preserve">，避免出现事后补记、推算填数、把记录留成孤页、归档无目录、到期无鉴定等典型失控情形，特制定本作业指导书。</w:t>
      </w:r>
    </w:p>
    <w:p>
      <w:pPr>
        <w:pStyle w:val="Heading2"/>
      </w:pPr>
      <w:bookmarkStart w:id="22" w:name="二适用范围"/>
      <w:r>
        <w:t xml:space="preserve">二、适用范围</w:t>
      </w:r>
      <w:bookmarkEnd w:id="22"/>
    </w:p>
    <w:p>
      <w:pPr>
        <w:pStyle w:val="FirstParagraph"/>
      </w:pPr>
      <w:r>
        <w:t xml:space="preserve">2.1 本指导书适用于本公司质量管理体系运行过程中形成的全部记录，包括但不限于：检验与试验记录、设备与计量器具记录、生产与工序记录、采购与供方记录、设计与开发记录、人员与培训记录、内审与管理评审记录、不合格与纠正措施记录、顾客与投诉记录、标识与追溯记录、文件与记录管理自身的记录。</w:t>
      </w:r>
    </w:p>
    <w:p>
      <w:pPr>
        <w:pStyle w:val="BodyText"/>
      </w:pPr>
      <w:r>
        <w:t xml:space="preserve">2.2 覆盖载体形式：纸质记录（表单、台账、卡片、挂板、工作票）、电子记录（ERP／MES／QMS 系统数据、电子表单、电子邮件、扫描件、电子签名记录）、混合记录（纸质签署后扫描存档，纸质件为正本）。</w:t>
      </w:r>
    </w:p>
    <w:p>
      <w:pPr>
        <w:pStyle w:val="BodyText"/>
      </w:pPr>
      <w:r>
        <w:t xml:space="preserve">2.3 下列记录不适用本指导书的具体归档条款，按专业管理要求执行，但其</w:t>
      </w:r>
      <w:r>
        <w:t xml:space="preserve">“</w:t>
      </w:r>
      <w:r>
        <w:t xml:space="preserve">填写真实、及时、可追溯</w:t>
      </w:r>
      <w:r>
        <w:t xml:space="preserve">”</w:t>
      </w:r>
      <w:r>
        <w:t xml:space="preserve">的基本要求仍适用：</w:t>
      </w:r>
    </w:p>
    <w:p>
      <w:pPr>
        <w:numPr>
          <w:ilvl w:val="0"/>
          <w:numId w:val="1001"/>
        </w:numPr>
        <w:pStyle w:val="Compact"/>
      </w:pPr>
      <w:r>
        <w:t xml:space="preserve">财务凭证、会计账簿，按国家会计档案管理规定执行；</w:t>
      </w:r>
    </w:p>
    <w:p>
      <w:pPr>
        <w:numPr>
          <w:ilvl w:val="0"/>
          <w:numId w:val="1001"/>
        </w:numPr>
        <w:pStyle w:val="Compact"/>
      </w:pPr>
      <w:r>
        <w:t xml:space="preserve">人事档案、劳动合同，按劳动与人事档案管理规定执行；</w:t>
      </w:r>
    </w:p>
    <w:p>
      <w:pPr>
        <w:numPr>
          <w:ilvl w:val="0"/>
          <w:numId w:val="1001"/>
        </w:numPr>
        <w:pStyle w:val="Compact"/>
      </w:pPr>
      <w:r>
        <w:t xml:space="preserve">涉及国家秘密或顾客明示保密要求的记录，按保密管理规定单独存放与管控；</w:t>
      </w:r>
    </w:p>
    <w:p>
      <w:pPr>
        <w:numPr>
          <w:ilvl w:val="0"/>
          <w:numId w:val="1001"/>
        </w:numPr>
        <w:pStyle w:val="Compact"/>
      </w:pPr>
      <w:r>
        <w:t xml:space="preserve">产品铭牌、产品履历卡等随机交付顾客的记录（其副本仍按本指导书归档）。</w:t>
      </w:r>
    </w:p>
    <w:p>
      <w:pPr>
        <w:pStyle w:val="FirstParagraph"/>
      </w:pPr>
      <w:r>
        <w:t xml:space="preserve">2.4 本指导书不规定各类记录的具体保存年限（年限由《记录控制程序》的《记录保存期限表》规定），仅规定填写、收集、归档、保管、借阅、销毁的作业方法。</w:t>
      </w:r>
    </w:p>
    <w:p>
      <w:pPr>
        <w:pStyle w:val="BodyText"/>
      </w:pPr>
      <w:r>
        <w:t xml:space="preserve">2.5 本公司记录管理遵循五条底线：</w:t>
      </w:r>
      <w:r>
        <w:rPr>
          <w:b/>
        </w:rPr>
        <w:t xml:space="preserve">不事后补记、不涂黑覆盖、不留空白页、不散页无目录、不到期不擅自销毁</w:t>
      </w:r>
      <w:r>
        <w:t xml:space="preserve">。</w:t>
      </w:r>
    </w:p>
    <w:p>
      <w:pPr>
        <w:pStyle w:val="Heading2"/>
      </w:pPr>
      <w:bookmarkStart w:id="23" w:name="三职责"/>
      <w:r>
        <w:t xml:space="preserve">三、职责</w:t>
      </w:r>
      <w:bookmarkEnd w:id="23"/>
    </w:p>
    <w:p>
      <w:pPr>
        <w:pStyle w:val="FirstParagraph"/>
      </w:pPr>
      <w:r>
        <w:t xml:space="preserve">3.1</w:t>
      </w:r>
      <w:r>
        <w:t xml:space="preserve"> </w:t>
      </w:r>
      <w:r>
        <w:rPr>
          <w:b/>
        </w:rPr>
        <w:t xml:space="preserve">管理者代表（体系负责人）</w:t>
      </w:r>
      <w:r>
        <w:t xml:space="preserve">：负责批准《记录清单》与《记录保存期限表》的整体框架；负责裁决部门之间关于记录归口、保存期限、借阅权限的分歧；负责批准记录销毁（对涉及产品质量追溯与法律责任的记录，行使延长保存的否决权）。</w:t>
      </w:r>
    </w:p>
    <w:p>
      <w:pPr>
        <w:pStyle w:val="BodyText"/>
      </w:pPr>
      <w:r>
        <w:t xml:space="preserve">3.2</w:t>
      </w:r>
      <w:r>
        <w:t xml:space="preserve"> </w:t>
      </w:r>
      <w:r>
        <w:rPr>
          <w:b/>
        </w:rPr>
        <w:t xml:space="preserve">质量部（体系归口部门）</w:t>
      </w:r>
      <w:r>
        <w:t xml:space="preserve">：负责维护公司《记录清单》，确保每一种记录都对应到表单编号、归口部门、保存期限、存放位置与检索方式；负责组织记录填写的宣贯与抽查；负责对记录填写质量与归档完整性进行月度抽查并纳入管理评审输入；负责组织记录库房的检查（防火、防潮、防虫、防丢失）。</w:t>
      </w:r>
    </w:p>
    <w:p>
      <w:pPr>
        <w:pStyle w:val="BodyText"/>
      </w:pPr>
      <w:r>
        <w:t xml:space="preserve">3.3</w:t>
      </w:r>
      <w:r>
        <w:t xml:space="preserve"> </w:t>
      </w:r>
      <w:r>
        <w:rPr>
          <w:b/>
        </w:rPr>
        <w:t xml:space="preserve">资料员（可由质量部内勤兼任）</w:t>
      </w:r>
      <w:r>
        <w:t xml:space="preserve">：负责按月度（或按批）收集各部门记录；负责记录的整理、编页、编目、装订、上架与归档登记；负责维护《记录归档登记表》与《记录借阅登记表》；负责记录保存期限届满的清点与《记录销毁申请（批准）表》的编制；负责记录库房的日常环境维护与出入库登记。</w:t>
      </w:r>
    </w:p>
    <w:p>
      <w:pPr>
        <w:pStyle w:val="BodyText"/>
      </w:pPr>
      <w:r>
        <w:t xml:space="preserve">3.4</w:t>
      </w:r>
      <w:r>
        <w:t xml:space="preserve"> </w:t>
      </w:r>
      <w:r>
        <w:rPr>
          <w:b/>
        </w:rPr>
        <w:t xml:space="preserve">各部门负责人</w:t>
      </w:r>
      <w:r>
        <w:t xml:space="preserve">：负责本部门记录填写的日常监督，确保当班记录当班完成、不留空格、不代填；负责指定本部门记录的收集人与暂存点；负责本部门记录在移交前的完整性与清晰性检查；负责本部门记录借阅的审批。</w:t>
      </w:r>
    </w:p>
    <w:p>
      <w:pPr>
        <w:pStyle w:val="BodyText"/>
      </w:pPr>
      <w:r>
        <w:t xml:space="preserve">3.5</w:t>
      </w:r>
      <w:r>
        <w:t xml:space="preserve"> </w:t>
      </w:r>
      <w:r>
        <w:rPr>
          <w:b/>
        </w:rPr>
        <w:t xml:space="preserve">填写人（各岗位操作者、检验员、班组长、内审员、管理层）</w:t>
      </w:r>
      <w:r>
        <w:t xml:space="preserve">：负责按本指导书第 4.3 条规则如实、及时填写记录；负责对本人的笔误按第 4.4 条规范更正并签名；负责当班结束前将记录放入指定暂存点；负责对自己填写内容的真实性承担直接责任。</w:t>
      </w:r>
    </w:p>
    <w:p>
      <w:pPr>
        <w:pStyle w:val="BodyText"/>
      </w:pPr>
      <w:r>
        <w:t xml:space="preserve">3.6</w:t>
      </w:r>
      <w:r>
        <w:t xml:space="preserve"> </w:t>
      </w:r>
      <w:r>
        <w:rPr>
          <w:b/>
        </w:rPr>
        <w:t xml:space="preserve">见证人／复核人</w:t>
      </w:r>
      <w:r>
        <w:t xml:space="preserve">：负责对需要双人确认的记录（首件检验、重要工序参数、不合格品处置、计量器具校准结果、纠正措施验证）进行现场见证或复核并签名，签名不得由他人代签，也不得事后追签。</w:t>
      </w:r>
    </w:p>
    <w:p>
      <w:pPr>
        <w:pStyle w:val="BodyText"/>
      </w:pPr>
      <w:r>
        <w:t xml:space="preserve">3.7</w:t>
      </w:r>
      <w:r>
        <w:t xml:space="preserve"> </w:t>
      </w:r>
      <w:r>
        <w:rPr>
          <w:b/>
        </w:rPr>
        <w:t xml:space="preserve">检验部门与工艺技术部门</w:t>
      </w:r>
      <w:r>
        <w:t xml:space="preserve">：负责对记录中涉及判定标准、数据修约、抽样方法的填写口径做出统一规定；负责解答现场对</w:t>
      </w:r>
      <w:r>
        <w:t xml:space="preserve">“</w:t>
      </w:r>
      <w:r>
        <w:t xml:space="preserve">这一栏该怎么填</w:t>
      </w:r>
      <w:r>
        <w:t xml:space="preserve">”</w:t>
      </w:r>
      <w:r>
        <w:t xml:space="preserve">的争议，避免同一栏目在不同班组填法各异。</w:t>
      </w:r>
    </w:p>
    <w:p>
      <w:pPr>
        <w:pStyle w:val="BodyText"/>
      </w:pPr>
      <w:r>
        <w:t xml:space="preserve">3.8</w:t>
      </w:r>
      <w:r>
        <w:t xml:space="preserve"> </w:t>
      </w:r>
      <w:r>
        <w:rPr>
          <w:b/>
        </w:rPr>
        <w:t xml:space="preserve">生产部、采购部、销售部、仓储部等其他相关部门</w:t>
      </w:r>
      <w:r>
        <w:t xml:space="preserve">：负责按本指导书第 4.3 至 4.7 条完成本部门记录的填写、收集与移交；负责本部门暂存记录的完整与安全。</w:t>
      </w:r>
    </w:p>
    <w:p>
      <w:pPr>
        <w:pStyle w:val="Heading2"/>
      </w:pPr>
      <w:bookmarkStart w:id="24" w:name="四工作程序"/>
      <w:r>
        <w:t xml:space="preserve">四、工作程序</w:t>
      </w:r>
      <w:bookmarkEnd w:id="24"/>
    </w:p>
    <w:p>
      <w:pPr>
        <w:pStyle w:val="Heading3"/>
      </w:pPr>
      <w:bookmarkStart w:id="25" w:name="记录的识别与记录清单管理"/>
      <w:r>
        <w:t xml:space="preserve">4.1 记录的识别与《记录清单》管理</w:t>
      </w:r>
      <w:bookmarkEnd w:id="25"/>
    </w:p>
    <w:p>
      <w:pPr>
        <w:pStyle w:val="FirstParagraph"/>
      </w:pPr>
      <w:r>
        <w:t xml:space="preserve">4.1.1 每一种记录表单在设计定稿时，必须同步在《记录清单》中登记一条，登记内容为：记录名称、表单编号、归属的程序文件或作业指导书编号、填写人岗位、填写频次、联次与去向、收集人、归档时限、保管部门、保存期限、存放位置、载体形式（纸质／电子／混合）。未在《记录清单》中登记的表单不得在现场使用，避免现场自发出现无编号、无期限、无人管的</w:t>
      </w:r>
      <w:r>
        <w:t xml:space="preserve">“</w:t>
      </w:r>
      <w:r>
        <w:t xml:space="preserve">三无记录</w:t>
      </w:r>
      <w:r>
        <w:t xml:space="preserve">”</w:t>
      </w:r>
      <w:r>
        <w:t xml:space="preserve">。</w:t>
      </w:r>
    </w:p>
    <w:p>
      <w:pPr>
        <w:pStyle w:val="BodyText"/>
      </w:pPr>
      <w:r>
        <w:t xml:space="preserve">4.1.2 《记录清单》由质量部维护，随体系文件改版、表单新增与作废同步更新，不得半年以上不更新；更新后应通知相关部门，并核实现场使用版本与清单一致。</w:t>
      </w:r>
    </w:p>
    <w:p>
      <w:pPr>
        <w:pStyle w:val="BodyText"/>
      </w:pPr>
      <w:r>
        <w:t xml:space="preserve">4.1.3 记录与文件的关系必须唯一可辨：一份表单应对应唯一的表单编号与版本；同一表单存在多种用途时，用同一编号加分栏或分页处理，不得另起编号，避免同一张表被两个部门各管一套。</w:t>
      </w:r>
    </w:p>
    <w:p>
      <w:pPr>
        <w:pStyle w:val="BodyText"/>
      </w:pPr>
      <w:r>
        <w:t xml:space="preserve">4.1.4 记录的分类建议按下表归口，便于收集与检索：</w:t>
      </w:r>
    </w:p>
    <w:tbl>
      <w:tblPr>
        <w:tblStyle w:val="Table"/>
        <w:tblW w:type="pct" w:w="0.0"/>
        <w:tblLook w:firstRow="1"/>
      </w:tblPr>
      <w:tblGrid/>
      <w:tr>
        <w:trPr>
          <w:cnfStyle w:firstRow="1"/>
        </w:trPr>
        <w:tc>
          <w:tcPr>
            <w:tcBorders>
              <w:bottom w:val="single"/>
            </w:tcBorders>
            <w:vAlign w:val="bottom"/>
          </w:tcPr>
          <w:p>
            <w:pPr>
              <w:pStyle w:val="Compact"/>
              <w:jc w:val="left"/>
            </w:pPr>
            <w:r>
              <w:t xml:space="preserve">序号</w:t>
            </w:r>
          </w:p>
        </w:tc>
        <w:tc>
          <w:tcPr>
            <w:tcBorders>
              <w:bottom w:val="single"/>
            </w:tcBorders>
            <w:vAlign w:val="bottom"/>
          </w:tcPr>
          <w:p>
            <w:pPr>
              <w:pStyle w:val="Compact"/>
              <w:jc w:val="left"/>
            </w:pPr>
            <w:r>
              <w:t xml:space="preserve">记录类别</w:t>
            </w:r>
          </w:p>
        </w:tc>
        <w:tc>
          <w:tcPr>
            <w:tcBorders>
              <w:bottom w:val="single"/>
            </w:tcBorders>
            <w:vAlign w:val="bottom"/>
          </w:tcPr>
          <w:p>
            <w:pPr>
              <w:pStyle w:val="Compact"/>
              <w:jc w:val="left"/>
            </w:pPr>
            <w:r>
              <w:t xml:space="preserve">典型记录</w:t>
            </w:r>
          </w:p>
        </w:tc>
        <w:tc>
          <w:tcPr>
            <w:tcBorders>
              <w:bottom w:val="single"/>
            </w:tcBorders>
            <w:vAlign w:val="bottom"/>
          </w:tcPr>
          <w:p>
            <w:pPr>
              <w:pStyle w:val="Compact"/>
              <w:jc w:val="left"/>
            </w:pPr>
            <w:r>
              <w:t xml:space="preserve">归口部门</w:t>
            </w:r>
          </w:p>
        </w:tc>
      </w:tr>
      <w:tr>
        <w:tc>
          <w:p>
            <w:pPr>
              <w:pStyle w:val="Compact"/>
              <w:jc w:val="left"/>
            </w:pPr>
            <w:r>
              <w:t xml:space="preserve">1</w:t>
            </w:r>
          </w:p>
        </w:tc>
        <w:tc>
          <w:p>
            <w:pPr>
              <w:pStyle w:val="Compact"/>
              <w:jc w:val="left"/>
            </w:pPr>
            <w:r>
              <w:t xml:space="preserve">检验与试验类</w:t>
            </w:r>
          </w:p>
        </w:tc>
        <w:tc>
          <w:p>
            <w:pPr>
              <w:pStyle w:val="Compact"/>
              <w:jc w:val="left"/>
            </w:pPr>
            <w:r>
              <w:t xml:space="preserve">进货检验记录、过程检验记录、成品检验记录、首件检验记录、型式试验记录</w:t>
            </w:r>
          </w:p>
        </w:tc>
        <w:tc>
          <w:p>
            <w:pPr>
              <w:pStyle w:val="Compact"/>
              <w:jc w:val="left"/>
            </w:pPr>
            <w:r>
              <w:t xml:space="preserve">质量部</w:t>
            </w:r>
          </w:p>
        </w:tc>
      </w:tr>
      <w:tr>
        <w:tc>
          <w:p>
            <w:pPr>
              <w:pStyle w:val="Compact"/>
              <w:jc w:val="left"/>
            </w:pPr>
            <w:r>
              <w:t xml:space="preserve">2</w:t>
            </w:r>
          </w:p>
        </w:tc>
        <w:tc>
          <w:p>
            <w:pPr>
              <w:pStyle w:val="Compact"/>
              <w:jc w:val="left"/>
            </w:pPr>
            <w:r>
              <w:t xml:space="preserve">设备与计量类</w:t>
            </w:r>
          </w:p>
        </w:tc>
        <w:tc>
          <w:p>
            <w:pPr>
              <w:pStyle w:val="Compact"/>
              <w:jc w:val="left"/>
            </w:pPr>
            <w:r>
              <w:t xml:space="preserve">设备台账、点检表、保养记录、维修记录、计量器具台账与校准记录</w:t>
            </w:r>
          </w:p>
        </w:tc>
        <w:tc>
          <w:p>
            <w:pPr>
              <w:pStyle w:val="Compact"/>
              <w:jc w:val="left"/>
            </w:pPr>
            <w:r>
              <w:t xml:space="preserve">设备／计量归口部门</w:t>
            </w:r>
          </w:p>
        </w:tc>
      </w:tr>
      <w:tr>
        <w:tc>
          <w:p>
            <w:pPr>
              <w:pStyle w:val="Compact"/>
              <w:jc w:val="left"/>
            </w:pPr>
            <w:r>
              <w:t xml:space="preserve">3</w:t>
            </w:r>
          </w:p>
        </w:tc>
        <w:tc>
          <w:p>
            <w:pPr>
              <w:pStyle w:val="Compact"/>
              <w:jc w:val="left"/>
            </w:pPr>
            <w:r>
              <w:t xml:space="preserve">生产与过程类</w:t>
            </w:r>
          </w:p>
        </w:tc>
        <w:tc>
          <w:p>
            <w:pPr>
              <w:pStyle w:val="Compact"/>
              <w:jc w:val="left"/>
            </w:pPr>
            <w:r>
              <w:t xml:space="preserve">生产日报、工序流转卡、工艺参数记录、首件与巡检记录、环境条件记录</w:t>
            </w:r>
          </w:p>
        </w:tc>
        <w:tc>
          <w:p>
            <w:pPr>
              <w:pStyle w:val="Compact"/>
              <w:jc w:val="left"/>
            </w:pPr>
            <w:r>
              <w:t xml:space="preserve">生产部</w:t>
            </w:r>
          </w:p>
        </w:tc>
      </w:tr>
      <w:tr>
        <w:tc>
          <w:p>
            <w:pPr>
              <w:pStyle w:val="Compact"/>
              <w:jc w:val="left"/>
            </w:pPr>
            <w:r>
              <w:t xml:space="preserve">4</w:t>
            </w:r>
          </w:p>
        </w:tc>
        <w:tc>
          <w:p>
            <w:pPr>
              <w:pStyle w:val="Compact"/>
              <w:jc w:val="left"/>
            </w:pPr>
            <w:r>
              <w:t xml:space="preserve">采购与供方类</w:t>
            </w:r>
          </w:p>
        </w:tc>
        <w:tc>
          <w:p>
            <w:pPr>
              <w:pStyle w:val="Compact"/>
              <w:jc w:val="left"/>
            </w:pPr>
            <w:r>
              <w:t xml:space="preserve">供方调查与评价表、合格供方名录、合同评审表、进货台账</w:t>
            </w:r>
          </w:p>
        </w:tc>
        <w:tc>
          <w:p>
            <w:pPr>
              <w:pStyle w:val="Compact"/>
              <w:jc w:val="left"/>
            </w:pPr>
            <w:r>
              <w:t xml:space="preserve">采购部</w:t>
            </w:r>
          </w:p>
        </w:tc>
      </w:tr>
      <w:tr>
        <w:tc>
          <w:p>
            <w:pPr>
              <w:pStyle w:val="Compact"/>
              <w:jc w:val="left"/>
            </w:pPr>
            <w:r>
              <w:t xml:space="preserve">5</w:t>
            </w:r>
          </w:p>
        </w:tc>
        <w:tc>
          <w:p>
            <w:pPr>
              <w:pStyle w:val="Compact"/>
              <w:jc w:val="left"/>
            </w:pPr>
            <w:r>
              <w:t xml:space="preserve">设计开发类</w:t>
            </w:r>
          </w:p>
        </w:tc>
        <w:tc>
          <w:p>
            <w:pPr>
              <w:pStyle w:val="Compact"/>
              <w:jc w:val="left"/>
            </w:pPr>
            <w:r>
              <w:t xml:space="preserve">设计任务书、评审记录、验证与确认报告、变更申请单、试制记录</w:t>
            </w:r>
          </w:p>
        </w:tc>
        <w:tc>
          <w:p>
            <w:pPr>
              <w:pStyle w:val="Compact"/>
              <w:jc w:val="left"/>
            </w:pPr>
            <w:r>
              <w:t xml:space="preserve">技术部</w:t>
            </w:r>
          </w:p>
        </w:tc>
      </w:tr>
      <w:tr>
        <w:tc>
          <w:p>
            <w:pPr>
              <w:pStyle w:val="Compact"/>
              <w:jc w:val="left"/>
            </w:pPr>
            <w:r>
              <w:t xml:space="preserve">6</w:t>
            </w:r>
          </w:p>
        </w:tc>
        <w:tc>
          <w:p>
            <w:pPr>
              <w:pStyle w:val="Compact"/>
              <w:jc w:val="left"/>
            </w:pPr>
            <w:r>
              <w:t xml:space="preserve">人力资源类</w:t>
            </w:r>
          </w:p>
        </w:tc>
        <w:tc>
          <w:p>
            <w:pPr>
              <w:pStyle w:val="Compact"/>
              <w:jc w:val="left"/>
            </w:pPr>
            <w:r>
              <w:t xml:space="preserve">培训计划与签到表、培训效果评估表、岗位说明书、能力评价表</w:t>
            </w:r>
          </w:p>
        </w:tc>
        <w:tc>
          <w:p>
            <w:pPr>
              <w:pStyle w:val="Compact"/>
              <w:jc w:val="left"/>
            </w:pPr>
            <w:r>
              <w:t xml:space="preserve">综合／人事部门</w:t>
            </w:r>
          </w:p>
        </w:tc>
      </w:tr>
      <w:tr>
        <w:tc>
          <w:p>
            <w:pPr>
              <w:pStyle w:val="Compact"/>
              <w:jc w:val="left"/>
            </w:pPr>
            <w:r>
              <w:t xml:space="preserve">7</w:t>
            </w:r>
          </w:p>
        </w:tc>
        <w:tc>
          <w:p>
            <w:pPr>
              <w:pStyle w:val="Compact"/>
              <w:jc w:val="left"/>
            </w:pPr>
            <w:r>
              <w:t xml:space="preserve">体系管理类</w:t>
            </w:r>
          </w:p>
        </w:tc>
        <w:tc>
          <w:p>
            <w:pPr>
              <w:pStyle w:val="Compact"/>
              <w:jc w:val="left"/>
            </w:pPr>
            <w:r>
              <w:t xml:space="preserve">内审计划、检查表、不符合项报告、内审报告、管理评审计划与报告、纠正措施单</w:t>
            </w:r>
          </w:p>
        </w:tc>
        <w:tc>
          <w:p>
            <w:pPr>
              <w:pStyle w:val="Compact"/>
              <w:jc w:val="left"/>
            </w:pPr>
            <w:r>
              <w:t xml:space="preserve">质量部</w:t>
            </w:r>
          </w:p>
        </w:tc>
      </w:tr>
      <w:tr>
        <w:tc>
          <w:p>
            <w:pPr>
              <w:pStyle w:val="Compact"/>
              <w:jc w:val="left"/>
            </w:pPr>
            <w:r>
              <w:t xml:space="preserve">8</w:t>
            </w:r>
          </w:p>
        </w:tc>
        <w:tc>
          <w:p>
            <w:pPr>
              <w:pStyle w:val="Compact"/>
              <w:jc w:val="left"/>
            </w:pPr>
            <w:r>
              <w:t xml:space="preserve">顾客与市场类</w:t>
            </w:r>
          </w:p>
        </w:tc>
        <w:tc>
          <w:p>
            <w:pPr>
              <w:pStyle w:val="Compact"/>
              <w:jc w:val="left"/>
            </w:pPr>
            <w:r>
              <w:t xml:space="preserve">合同评审记录、顾客满意度调查表、投诉处理记录、顾客财产登记表</w:t>
            </w:r>
          </w:p>
        </w:tc>
        <w:tc>
          <w:p>
            <w:pPr>
              <w:pStyle w:val="Compact"/>
              <w:jc w:val="left"/>
            </w:pPr>
            <w:r>
              <w:t xml:space="preserve">销售部（配合质量部）</w:t>
            </w:r>
          </w:p>
        </w:tc>
      </w:tr>
      <w:tr>
        <w:tc>
          <w:p>
            <w:pPr>
              <w:pStyle w:val="Compact"/>
              <w:jc w:val="left"/>
            </w:pPr>
            <w:r>
              <w:t xml:space="preserve">9</w:t>
            </w:r>
          </w:p>
        </w:tc>
        <w:tc>
          <w:p>
            <w:pPr>
              <w:pStyle w:val="Compact"/>
              <w:jc w:val="left"/>
            </w:pPr>
            <w:r>
              <w:t xml:space="preserve">记录管理自身类</w:t>
            </w:r>
          </w:p>
        </w:tc>
        <w:tc>
          <w:p>
            <w:pPr>
              <w:pStyle w:val="Compact"/>
              <w:jc w:val="left"/>
            </w:pPr>
            <w:r>
              <w:t xml:space="preserve">记录清单、归档登记表、借阅登记表、销毁申请与批准表、库房环境检查表</w:t>
            </w:r>
          </w:p>
        </w:tc>
        <w:tc>
          <w:p>
            <w:pPr>
              <w:pStyle w:val="Compact"/>
              <w:jc w:val="left"/>
            </w:pPr>
            <w:r>
              <w:t xml:space="preserve">质量部</w:t>
            </w:r>
          </w:p>
        </w:tc>
      </w:tr>
    </w:tbl>
    <w:p>
      <w:pPr>
        <w:pStyle w:val="BodyText"/>
      </w:pPr>
      <w:r>
        <w:t xml:space="preserve">4.1.5 电子记录的识别同样需要登记：登记系统名称、模块或表单名称、数据责任人、保存位置（服务器／云端路径）、备份周期、留存期限。仅以</w:t>
      </w:r>
      <w:r>
        <w:t xml:space="preserve">“</w:t>
      </w:r>
      <w:r>
        <w:t xml:space="preserve">在系统里</w:t>
      </w:r>
      <w:r>
        <w:t xml:space="preserve">”</w:t>
      </w:r>
      <w:r>
        <w:t xml:space="preserve">代替登记，日后人员变动即无法检索。</w:t>
      </w:r>
    </w:p>
    <w:p>
      <w:pPr>
        <w:pStyle w:val="Heading3"/>
      </w:pPr>
      <w:bookmarkStart w:id="26" w:name="记录表单的设计要求"/>
      <w:r>
        <w:t xml:space="preserve">4.2 记录表单的设计要求</w:t>
      </w:r>
      <w:bookmarkEnd w:id="26"/>
    </w:p>
    <w:p>
      <w:pPr>
        <w:pStyle w:val="FirstParagraph"/>
      </w:pPr>
      <w:r>
        <w:t xml:space="preserve">4.2.1 表单设计应保证</w:t>
      </w:r>
      <w:r>
        <w:t xml:space="preserve">“</w:t>
      </w:r>
      <w:r>
        <w:t xml:space="preserve">填得完、看得懂、对得上</w:t>
      </w:r>
      <w:r>
        <w:t xml:space="preserve">”</w:t>
      </w:r>
      <w:r>
        <w:t xml:space="preserve">。每张表单至少包含以下要素：表单名称与编号、版本号（与归属文件版本联动）、页码与总页数、填写对象标识栏（产品／批次／设备／人员／日期）、填写栏目、判定或结论栏、填写人签名与日期栏、复核或批准栏（按需）、备注栏。</w:t>
      </w:r>
    </w:p>
    <w:p>
      <w:pPr>
        <w:pStyle w:val="BodyText"/>
      </w:pPr>
      <w:r>
        <w:t xml:space="preserve">4.2.2 栏目设计的三条要求：</w:t>
      </w:r>
    </w:p>
    <w:p>
      <w:pPr>
        <w:numPr>
          <w:ilvl w:val="0"/>
          <w:numId w:val="1002"/>
        </w:numPr>
        <w:pStyle w:val="Compact"/>
      </w:pPr>
      <w:r>
        <w:rPr>
          <w:b/>
        </w:rPr>
        <w:t xml:space="preserve">必填与选填可辨</w:t>
      </w:r>
      <w:r>
        <w:t xml:space="preserve">：必填栏目不得留空，选填栏目的空值处理方式应在表单说明或本指导书中明确；</w:t>
      </w:r>
    </w:p>
    <w:p>
      <w:pPr>
        <w:numPr>
          <w:ilvl w:val="0"/>
          <w:numId w:val="1002"/>
        </w:numPr>
        <w:pStyle w:val="Compact"/>
      </w:pPr>
      <w:r>
        <w:rPr>
          <w:b/>
        </w:rPr>
        <w:t xml:space="preserve">单位与精度写明</w:t>
      </w:r>
      <w:r>
        <w:t xml:space="preserve">：凡涉及数值的栏目应标注单位（mm、℃、MPa、kg）与有效位数或小数位，避免同一栏出现</w:t>
      </w:r>
      <w:r>
        <w:t xml:space="preserve">“</w:t>
      </w:r>
      <w:r>
        <w:t xml:space="preserve">12.5</w:t>
      </w:r>
      <w:r>
        <w:t xml:space="preserve">”</w:t>
      </w:r>
      <w:r>
        <w:t xml:space="preserve">与</w:t>
      </w:r>
      <w:r>
        <w:t xml:space="preserve">“</w:t>
      </w:r>
      <w:r>
        <w:t xml:space="preserve">12.50</w:t>
      </w:r>
      <w:r>
        <w:t xml:space="preserve">”</w:t>
      </w:r>
      <w:r>
        <w:t xml:space="preserve">两种口径；</w:t>
      </w:r>
    </w:p>
    <w:p>
      <w:pPr>
        <w:numPr>
          <w:ilvl w:val="0"/>
          <w:numId w:val="1002"/>
        </w:numPr>
        <w:pStyle w:val="Compact"/>
      </w:pPr>
      <w:r>
        <w:rPr>
          <w:b/>
        </w:rPr>
        <w:t xml:space="preserve">判定依据写到栏内或依附</w:t>
      </w:r>
      <w:r>
        <w:t xml:space="preserve">：检验类记录的判定栏应写明判定标准出处（如</w:t>
      </w:r>
      <w:r>
        <w:t xml:space="preserve">“</w:t>
      </w:r>
      <w:r>
        <w:t xml:space="preserve">按图纸尺寸公差</w:t>
      </w:r>
      <w:r>
        <w:t xml:space="preserve">”</w:t>
      </w:r>
      <w:r>
        <w:t xml:space="preserve">或</w:t>
      </w:r>
      <w:r>
        <w:t xml:space="preserve">“</w:t>
      </w:r>
      <w:r>
        <w:t xml:space="preserve">按顾客规范第 5.2 条</w:t>
      </w:r>
      <w:r>
        <w:t xml:space="preserve">”</w:t>
      </w:r>
      <w:r>
        <w:t xml:space="preserve">），防止判无据可查。</w:t>
      </w:r>
    </w:p>
    <w:p>
      <w:pPr>
        <w:pStyle w:val="FirstParagraph"/>
      </w:pPr>
      <w:r>
        <w:t xml:space="preserve">4.2.3 表单的联次与流向应在表单右上角或页脚注明，例如</w:t>
      </w:r>
      <w:r>
        <w:t xml:space="preserve">“</w:t>
      </w:r>
      <w:r>
        <w:t xml:space="preserve">三联：第一联质量部、第二联生产部、第三联随产品</w:t>
      </w:r>
      <w:r>
        <w:t xml:space="preserve">”</w:t>
      </w:r>
      <w:r>
        <w:t xml:space="preserve">。多联表单必须用不同颜色或字标注联次，避免全部联次混在一起造成重复归档或漏归档。</w:t>
      </w:r>
    </w:p>
    <w:p>
      <w:pPr>
        <w:pStyle w:val="BodyText"/>
      </w:pPr>
      <w:r>
        <w:t xml:space="preserve">4.2.4 表单改版时，旧版表单应同步收回（参照《文件编制与审批作业指导书》套包第 38 篇的回收要求）；现场不得出现</w:t>
      </w:r>
      <w:r>
        <w:t xml:space="preserve">“</w:t>
      </w:r>
      <w:r>
        <w:t xml:space="preserve">新版表单编号不变、印刷字样不同</w:t>
      </w:r>
      <w:r>
        <w:t xml:space="preserve">”</w:t>
      </w:r>
      <w:r>
        <w:t xml:space="preserve">的混用情况。改版后第一次使用时，宜由归口部门现场示范一遍填写，避免因栏目调整导致大面积填错。</w:t>
      </w:r>
    </w:p>
    <w:p>
      <w:pPr>
        <w:pStyle w:val="BodyText"/>
      </w:pPr>
      <w:r>
        <w:t xml:space="preserve">4.2.5 表单设计不宜追求栏目越多越好：现场填不动的表单必然演变为</w:t>
      </w:r>
      <w:r>
        <w:t xml:space="preserve">“</w:t>
      </w:r>
      <w:r>
        <w:t xml:space="preserve">补记表</w:t>
      </w:r>
      <w:r>
        <w:t xml:space="preserve">”</w:t>
      </w:r>
      <w:r>
        <w:t xml:space="preserve">，反而失去真实性。设计时应把可自动采集的数据（设备参数、系统时间、重量）剔除手工栏，只保留必须人写的判断与签署。</w:t>
      </w:r>
    </w:p>
    <w:p>
      <w:pPr>
        <w:pStyle w:val="Heading3"/>
      </w:pPr>
      <w:bookmarkStart w:id="27" w:name="记录填写的一般规则"/>
      <w:r>
        <w:t xml:space="preserve">4.3 记录填写的一般规则</w:t>
      </w:r>
      <w:bookmarkEnd w:id="27"/>
    </w:p>
    <w:p>
      <w:pPr>
        <w:pStyle w:val="FirstParagraph"/>
      </w:pPr>
      <w:r>
        <w:t xml:space="preserve">4.3.1</w:t>
      </w:r>
      <w:r>
        <w:t xml:space="preserve"> </w:t>
      </w:r>
      <w:r>
        <w:rPr>
          <w:b/>
        </w:rPr>
        <w:t xml:space="preserve">及时性原则</w:t>
      </w:r>
      <w:r>
        <w:t xml:space="preserve">。记录应在动作发生的同时或当班内完成，不得跨班补记、不得集中到周末凭记忆补写、不得依据生产数量推算填数。需要连续监控的记录（温度、压力、称重、环境条件）应按规定的间隔现场记录，不允许事后按</w:t>
      </w:r>
      <w:r>
        <w:t xml:space="preserve">“</w:t>
      </w:r>
      <w:r>
        <w:t xml:space="preserve">平均值+合理波动</w:t>
      </w:r>
      <w:r>
        <w:t xml:space="preserve">”</w:t>
      </w:r>
      <w:r>
        <w:t xml:space="preserve">编造。</w:t>
      </w:r>
    </w:p>
    <w:p>
      <w:pPr>
        <w:pStyle w:val="BodyText"/>
      </w:pPr>
      <w:r>
        <w:t xml:space="preserve">4.3.2</w:t>
      </w:r>
      <w:r>
        <w:t xml:space="preserve"> </w:t>
      </w:r>
      <w:r>
        <w:rPr>
          <w:b/>
        </w:rPr>
        <w:t xml:space="preserve">用笔与载体规范</w:t>
      </w:r>
      <w:r>
        <w:t xml:space="preserve">。纸质记录一律使用蓝色或黑色不褪色签字笔（或圆珠笔按企业统一规定），禁止使用铅笔、红色笔、可擦笔、荧光笔填写数据；记录载体应为受控印制版本，禁止在便签、白纸、废纸背面填写后粘贴替代。</w:t>
      </w:r>
    </w:p>
    <w:p>
      <w:pPr>
        <w:pStyle w:val="BodyText"/>
      </w:pPr>
      <w:r>
        <w:t xml:space="preserve">4.3.3</w:t>
      </w:r>
      <w:r>
        <w:t xml:space="preserve"> </w:t>
      </w:r>
      <w:r>
        <w:rPr>
          <w:b/>
        </w:rPr>
        <w:t xml:space="preserve">如实与清晰</w:t>
      </w:r>
      <w:r>
        <w:t xml:space="preserve">。数据必须反映真实测量与观察结果，不得</w:t>
      </w:r>
      <w:r>
        <w:t xml:space="preserve">“</w:t>
      </w:r>
      <w:r>
        <w:t xml:space="preserve">按合格范围上下浮动</w:t>
      </w:r>
      <w:r>
        <w:t xml:space="preserve">”</w:t>
      </w:r>
      <w:r>
        <w:t xml:space="preserve">填写；字迹应工整、数字应规范书写（避免 0 与 6、1 与 7、3 与 8 辨识不清），中文不得连笔难辨。填写人应将手写签名与工号同时写出（签工号便于追溯），签名不得以章代签，不得由他人代签。</w:t>
      </w:r>
    </w:p>
    <w:p>
      <w:pPr>
        <w:pStyle w:val="BodyText"/>
      </w:pPr>
      <w:r>
        <w:t xml:space="preserve">4.3.4</w:t>
      </w:r>
      <w:r>
        <w:t xml:space="preserve"> </w:t>
      </w:r>
      <w:r>
        <w:rPr>
          <w:b/>
        </w:rPr>
        <w:t xml:space="preserve">填空题与空格处理</w:t>
      </w:r>
      <w:r>
        <w:t xml:space="preserve">。记录中无内容的栏目，不得空留，应划线处理：一行内的空格用单横线</w:t>
      </w:r>
      <w:r>
        <w:t xml:space="preserve">“</w:t>
      </w:r>
      <w:r>
        <w:t xml:space="preserve">——</w:t>
      </w:r>
      <w:r>
        <w:t xml:space="preserve">”</w:t>
      </w:r>
      <w:r>
        <w:t xml:space="preserve">或单斜线（／）自左下至右上贯穿划掉；整栏不适用的应注明</w:t>
      </w:r>
      <w:r>
        <w:t xml:space="preserve">“</w:t>
      </w:r>
      <w:r>
        <w:t xml:space="preserve">本批无此项</w:t>
      </w:r>
      <w:r>
        <w:t xml:space="preserve">”</w:t>
      </w:r>
      <w:r>
        <w:t xml:space="preserve">或</w:t>
      </w:r>
      <w:r>
        <w:t xml:space="preserve">“</w:t>
      </w:r>
      <w:r>
        <w:t xml:space="preserve">N/A</w:t>
      </w:r>
      <w:r>
        <w:t xml:space="preserve">”</w:t>
      </w:r>
      <w:r>
        <w:t xml:space="preserve">，并由填写人签名；禁止整片空白页夹在已填写页之间归档。</w:t>
      </w:r>
    </w:p>
    <w:p>
      <w:pPr>
        <w:pStyle w:val="BodyText"/>
      </w:pPr>
      <w:r>
        <w:t xml:space="preserve">4.3.5</w:t>
      </w:r>
      <w:r>
        <w:t xml:space="preserve"> </w:t>
      </w:r>
      <w:r>
        <w:rPr>
          <w:b/>
        </w:rPr>
        <w:t xml:space="preserve">不得涂改的四种情形</w:t>
      </w:r>
      <w:r>
        <w:t xml:space="preserve">。以下情形严禁就地更正，必须作废重填或按第 4.4 条处理并上报：判定结论栏目、签名与日期栏目、需要双人见证的数值栏、涉及产品放行与不合格处置结论的栏目。结论类记录一经签署即不可更改，需变更结论的应另出《不合格品评审记录》或《纠正措施单》说明。</w:t>
      </w:r>
    </w:p>
    <w:p>
      <w:pPr>
        <w:pStyle w:val="BodyText"/>
      </w:pPr>
      <w:r>
        <w:t xml:space="preserve">4.3.6</w:t>
      </w:r>
      <w:r>
        <w:t xml:space="preserve"> </w:t>
      </w:r>
      <w:r>
        <w:rPr>
          <w:b/>
        </w:rPr>
        <w:t xml:space="preserve">数据修约与计算</w:t>
      </w:r>
      <w:r>
        <w:t xml:space="preserve">。测量数据的修约按约定规则统一执行（一般按 GB/T 8170 的修约规则），修约位数应与判定要求的位数一致；由记录推算的派生值（平均值、极差、合格率、不良率）应在记录中写明计算式或标明计算工具，禁止只写结果不写来源。</w:t>
      </w:r>
    </w:p>
    <w:p>
      <w:pPr>
        <w:pStyle w:val="BodyText"/>
      </w:pPr>
      <w:r>
        <w:t xml:space="preserve">4.3.7</w:t>
      </w:r>
      <w:r>
        <w:t xml:space="preserve"> </w:t>
      </w:r>
      <w:r>
        <w:rPr>
          <w:b/>
        </w:rPr>
        <w:t xml:space="preserve">栏目对应不得错行</w:t>
      </w:r>
      <w:r>
        <w:t xml:space="preserve">。多名操作者或多台设备在同一张表单上登记时，必须逐行对应，禁止错行、串行填写；表单行数不足时应另起一页并在页脚注明</w:t>
      </w:r>
      <w:r>
        <w:t xml:space="preserve">“</w:t>
      </w:r>
      <w:r>
        <w:t xml:space="preserve">续第 X 页</w:t>
      </w:r>
      <w:r>
        <w:t xml:space="preserve">”</w:t>
      </w:r>
      <w:r>
        <w:t xml:space="preserve">，装订时按序排列。</w:t>
      </w:r>
    </w:p>
    <w:p>
      <w:pPr>
        <w:pStyle w:val="Heading3"/>
      </w:pPr>
      <w:bookmarkStart w:id="28" w:name="记录更正的规范动作"/>
      <w:r>
        <w:t xml:space="preserve">4.4 记录更正的规范动作</w:t>
      </w:r>
      <w:bookmarkEnd w:id="28"/>
    </w:p>
    <w:p>
      <w:pPr>
        <w:pStyle w:val="FirstParagraph"/>
      </w:pPr>
      <w:r>
        <w:t xml:space="preserve">4.4.1 填写出现笔误时，一律采用</w:t>
      </w:r>
      <w:r>
        <w:t xml:space="preserve">“</w:t>
      </w:r>
      <w:r>
        <w:t xml:space="preserve">划改法</w:t>
      </w:r>
      <w:r>
        <w:t xml:space="preserve">”</w:t>
      </w:r>
      <w:r>
        <w:t xml:space="preserve">完成更正，动作顺序为：</w:t>
      </w:r>
      <w:r>
        <w:rPr>
          <w:b/>
        </w:rPr>
        <w:t xml:space="preserve">在原内容上划一条细横线（保持原内容仍可辨认）→ 在紧邻位置写上正确内容 → 由更正人签名 → 注明更正日期</w:t>
      </w:r>
      <w:r>
        <w:t xml:space="preserve">。四项缺一不可，缺签名或日期的更正视为无效更正。</w:t>
      </w:r>
    </w:p>
    <w:p>
      <w:pPr>
        <w:pStyle w:val="BodyText"/>
      </w:pPr>
      <w:r>
        <w:t xml:space="preserve">4.4.2 下列做法一律禁止，出现即按记录不真实处理：涂黑、涂改液覆盖、用刀片刮除、用胶带贴盖、撕掉重抄（同页其他数据来源一并失真）、整页换新而不保留原页、由他人代为更正。</w:t>
      </w:r>
    </w:p>
    <w:p>
      <w:pPr>
        <w:pStyle w:val="BodyText"/>
      </w:pPr>
      <w:r>
        <w:t xml:space="preserve">4.4.3 更正幅度较大（一页内更正超过 3 处或涉及关键数值）时，宜作废本页并在备注栏注明</w:t>
      </w:r>
      <w:r>
        <w:t xml:space="preserve">“</w:t>
      </w:r>
      <w:r>
        <w:t xml:space="preserve">此页作废，见重填页</w:t>
      </w:r>
      <w:r>
        <w:t xml:space="preserve">”</w:t>
      </w:r>
      <w:r>
        <w:t xml:space="preserve">，重填页与原页一并归档，便于追溯原始状态；不得只保留重填页。</w:t>
      </w:r>
    </w:p>
    <w:p>
      <w:pPr>
        <w:pStyle w:val="BodyText"/>
      </w:pPr>
      <w:r>
        <w:t xml:space="preserve">4.4.4 电子记录的更正通过系统的修改留痕功能实现：系统应保留修改前后值、修改人、修改时间与修改原因；无留痕功能的电子表单不得用于需要追溯的记录，此类记录应先打印签署后按纸质记录归档。</w:t>
      </w:r>
    </w:p>
    <w:p>
      <w:pPr>
        <w:pStyle w:val="BodyText"/>
      </w:pPr>
      <w:r>
        <w:t xml:space="preserve">4.4.5 任何更正不得改变记录的原始结论方向：不能把</w:t>
      </w:r>
      <w:r>
        <w:t xml:space="preserve">“</w:t>
      </w:r>
      <w:r>
        <w:t xml:space="preserve">不合格</w:t>
      </w:r>
      <w:r>
        <w:t xml:space="preserve">”</w:t>
      </w:r>
      <w:r>
        <w:t xml:space="preserve">改为</w:t>
      </w:r>
      <w:r>
        <w:t xml:space="preserve">“</w:t>
      </w:r>
      <w:r>
        <w:t xml:space="preserve">合格</w:t>
      </w:r>
      <w:r>
        <w:t xml:space="preserve">”</w:t>
      </w:r>
      <w:r>
        <w:t xml:space="preserve">、把</w:t>
      </w:r>
      <w:r>
        <w:t xml:space="preserve">“</w:t>
      </w:r>
      <w:r>
        <w:t xml:space="preserve">超差</w:t>
      </w:r>
      <w:r>
        <w:t xml:space="preserve">”</w:t>
      </w:r>
      <w:r>
        <w:t xml:space="preserve">改为</w:t>
      </w:r>
      <w:r>
        <w:t xml:space="preserve">“</w:t>
      </w:r>
      <w:r>
        <w:t xml:space="preserve">在公差内</w:t>
      </w:r>
      <w:r>
        <w:t xml:space="preserve">”</w:t>
      </w:r>
      <w:r>
        <w:t xml:space="preserve">。这类变更只能通过不合格品处置流程或纠正措施流程产生新的记录，原记录保持原样并注明</w:t>
      </w:r>
      <w:r>
        <w:t xml:space="preserve">“</w:t>
      </w:r>
      <w:r>
        <w:t xml:space="preserve">已按 XXXX 单处置</w:t>
      </w:r>
      <w:r>
        <w:t xml:space="preserve">”</w:t>
      </w:r>
      <w:r>
        <w:t xml:space="preserve">。</w:t>
      </w:r>
    </w:p>
    <w:p>
      <w:pPr>
        <w:pStyle w:val="Heading3"/>
      </w:pPr>
      <w:bookmarkStart w:id="29" w:name="各类记录的填写要点"/>
      <w:r>
        <w:t xml:space="preserve">4.5 各类记录的填写要点</w:t>
      </w:r>
      <w:bookmarkEnd w:id="29"/>
    </w:p>
    <w:tbl>
      <w:tblPr>
        <w:tblStyle w:val="Table"/>
        <w:tblW w:type="pct" w:w="5000.0"/>
        <w:tblLook w:firstRow="1"/>
      </w:tblPr>
      <w:tblGrid>
        <w:gridCol w:w="2640"/>
        <w:gridCol w:w="2640"/>
        <w:gridCol w:w="2640"/>
      </w:tblGrid>
      <w:tr>
        <w:trPr>
          <w:cnfStyle w:firstRow="1"/>
        </w:trPr>
        <w:tc>
          <w:tcPr>
            <w:tcBorders>
              <w:bottom w:val="single"/>
            </w:tcBorders>
            <w:vAlign w:val="bottom"/>
          </w:tcPr>
          <w:p>
            <w:pPr>
              <w:pStyle w:val="Compact"/>
              <w:jc w:val="left"/>
            </w:pPr>
            <w:r>
              <w:t xml:space="preserve">记录类别</w:t>
            </w:r>
          </w:p>
        </w:tc>
        <w:tc>
          <w:tcPr>
            <w:tcBorders>
              <w:bottom w:val="single"/>
            </w:tcBorders>
            <w:vAlign w:val="bottom"/>
          </w:tcPr>
          <w:p>
            <w:pPr>
              <w:pStyle w:val="Compact"/>
              <w:jc w:val="left"/>
            </w:pPr>
            <w:r>
              <w:t xml:space="preserve">关键填写要求</w:t>
            </w:r>
          </w:p>
        </w:tc>
        <w:tc>
          <w:tcPr>
            <w:tcBorders>
              <w:bottom w:val="single"/>
            </w:tcBorders>
            <w:vAlign w:val="bottom"/>
          </w:tcPr>
          <w:p>
            <w:pPr>
              <w:pStyle w:val="Compact"/>
              <w:jc w:val="left"/>
            </w:pPr>
            <w:r>
              <w:t xml:space="preserve">常见填写错误</w:t>
            </w:r>
          </w:p>
        </w:tc>
      </w:tr>
      <w:tr>
        <w:tc>
          <w:p>
            <w:pPr>
              <w:pStyle w:val="Compact"/>
              <w:jc w:val="left"/>
            </w:pPr>
            <w:r>
              <w:t xml:space="preserve">检验记录（进货／过程／成品）</w:t>
            </w:r>
          </w:p>
        </w:tc>
        <w:tc>
          <w:p>
            <w:pPr>
              <w:pStyle w:val="Compact"/>
              <w:jc w:val="left"/>
            </w:pPr>
            <w:r>
              <w:t xml:space="preserve">写全批次号与数量、抽样数量与样本编号、实测数据（不得只写合格）、判定依据条款、检验员与复核人签名、检验日期与时间</w:t>
            </w:r>
          </w:p>
        </w:tc>
        <w:tc>
          <w:p>
            <w:pPr>
              <w:pStyle w:val="Compact"/>
              <w:jc w:val="left"/>
            </w:pPr>
            <w:r>
              <w:t xml:space="preserve">只写</w:t>
            </w:r>
            <w:r>
              <w:t xml:space="preserve">“</w:t>
            </w:r>
            <w:r>
              <w:t xml:space="preserve">合格</w:t>
            </w:r>
            <w:r>
              <w:t xml:space="preserve">”</w:t>
            </w:r>
            <w:r>
              <w:t xml:space="preserve">不写实测值；抽样数写实际抽样数以外的计划数；漏签复核人</w:t>
            </w:r>
          </w:p>
        </w:tc>
      </w:tr>
      <w:tr>
        <w:tc>
          <w:p>
            <w:pPr>
              <w:pStyle w:val="Compact"/>
              <w:jc w:val="left"/>
            </w:pPr>
            <w:r>
              <w:t xml:space="preserve">首件检验记录</w:t>
            </w:r>
          </w:p>
        </w:tc>
        <w:tc>
          <w:p>
            <w:pPr>
              <w:pStyle w:val="Compact"/>
              <w:jc w:val="left"/>
            </w:pPr>
            <w:r>
              <w:t xml:space="preserve">首件必须真实取自当班首件、标明机台与模具编号、记录全部判定项、班组长与检验员双签、结论写出可批量生产</w:t>
            </w:r>
          </w:p>
        </w:tc>
        <w:tc>
          <w:p>
            <w:pPr>
              <w:pStyle w:val="Compact"/>
              <w:jc w:val="left"/>
            </w:pPr>
            <w:r>
              <w:t xml:space="preserve">首件取的是末件或合格样件；结论只写</w:t>
            </w:r>
            <w:r>
              <w:t xml:space="preserve">“</w:t>
            </w:r>
            <w:r>
              <w:t xml:space="preserve">OK</w:t>
            </w:r>
            <w:r>
              <w:t xml:space="preserve">”</w:t>
            </w:r>
            <w:r>
              <w:t xml:space="preserve">；无双签</w:t>
            </w:r>
          </w:p>
        </w:tc>
      </w:tr>
      <w:tr>
        <w:tc>
          <w:p>
            <w:pPr>
              <w:pStyle w:val="Compact"/>
              <w:jc w:val="left"/>
            </w:pPr>
            <w:r>
              <w:t xml:space="preserve">设备点检与保养记录</w:t>
            </w:r>
          </w:p>
        </w:tc>
        <w:tc>
          <w:p>
            <w:pPr>
              <w:pStyle w:val="Compact"/>
              <w:jc w:val="left"/>
            </w:pPr>
            <w:r>
              <w:t xml:space="preserve">按点检项目逐项打勾或填写数值、异常项必须写明处理方式与处理人、班组长签字确认</w:t>
            </w:r>
          </w:p>
        </w:tc>
        <w:tc>
          <w:p>
            <w:pPr>
              <w:pStyle w:val="Compact"/>
              <w:jc w:val="left"/>
            </w:pPr>
            <w:r>
              <w:t xml:space="preserve">整月一次补勾；异常栏留空；点检日期与生产日报对不上</w:t>
            </w:r>
          </w:p>
        </w:tc>
      </w:tr>
      <w:tr>
        <w:tc>
          <w:p>
            <w:pPr>
              <w:pStyle w:val="Compact"/>
              <w:jc w:val="left"/>
            </w:pPr>
            <w:r>
              <w:t xml:space="preserve">计量器具校准／期间核查记录</w:t>
            </w:r>
          </w:p>
        </w:tc>
        <w:tc>
          <w:p>
            <w:pPr>
              <w:pStyle w:val="Compact"/>
              <w:jc w:val="left"/>
            </w:pPr>
            <w:r>
              <w:t xml:space="preserve">写标准器编号与有效期、环境条件（温度湿度）、校准点与示值误差、结论与下次校准日期、校准人签名</w:t>
            </w:r>
          </w:p>
        </w:tc>
        <w:tc>
          <w:p>
            <w:pPr>
              <w:pStyle w:val="Compact"/>
              <w:jc w:val="left"/>
            </w:pPr>
            <w:r>
              <w:t xml:space="preserve">标准器编号遗漏导致链路断裂；下次校准日期不写；期间核查只写</w:t>
            </w:r>
            <w:r>
              <w:t xml:space="preserve">“</w:t>
            </w:r>
            <w:r>
              <w:t xml:space="preserve">正常</w:t>
            </w:r>
            <w:r>
              <w:t xml:space="preserve">”</w:t>
            </w:r>
          </w:p>
        </w:tc>
      </w:tr>
      <w:tr>
        <w:tc>
          <w:p>
            <w:pPr>
              <w:pStyle w:val="Compact"/>
              <w:jc w:val="left"/>
            </w:pPr>
            <w:r>
              <w:t xml:space="preserve">工艺参数记录</w:t>
            </w:r>
          </w:p>
        </w:tc>
        <w:tc>
          <w:p>
            <w:pPr>
              <w:pStyle w:val="Compact"/>
              <w:jc w:val="left"/>
            </w:pPr>
            <w:r>
              <w:t xml:space="preserve">按工序规定的参数项记录实际值（不得超范围照抄设定值）、异常时记录调整动作与效果</w:t>
            </w:r>
          </w:p>
        </w:tc>
        <w:tc>
          <w:p>
            <w:pPr>
              <w:pStyle w:val="Compact"/>
              <w:jc w:val="left"/>
            </w:pPr>
            <w:r>
              <w:t xml:space="preserve">抄设定值而非实际值；参数偏离不记录</w:t>
            </w:r>
          </w:p>
        </w:tc>
      </w:tr>
      <w:tr>
        <w:tc>
          <w:p>
            <w:pPr>
              <w:pStyle w:val="Compact"/>
              <w:jc w:val="left"/>
            </w:pPr>
            <w:r>
              <w:t xml:space="preserve">不合格品与纠正措施记录</w:t>
            </w:r>
          </w:p>
        </w:tc>
        <w:tc>
          <w:p>
            <w:pPr>
              <w:pStyle w:val="Compact"/>
              <w:jc w:val="left"/>
            </w:pPr>
            <w:r>
              <w:t xml:space="preserve">不合格现象描述具体（数量、位置、缺陷形态）、评审结论与处置方式明确（返工／让步／返修／报废）、责任人与完成期限、验证人与验证结论</w:t>
            </w:r>
          </w:p>
        </w:tc>
        <w:tc>
          <w:p>
            <w:pPr>
              <w:pStyle w:val="Compact"/>
              <w:jc w:val="left"/>
            </w:pPr>
            <w:r>
              <w:t xml:space="preserve">原因填</w:t>
            </w:r>
            <w:r>
              <w:t xml:space="preserve">“</w:t>
            </w:r>
            <w:r>
              <w:t xml:space="preserve">操作失误</w:t>
            </w:r>
            <w:r>
              <w:t xml:space="preserve">”</w:t>
            </w:r>
            <w:r>
              <w:t xml:space="preserve">了事；验证栏空白；措施与原因不对应</w:t>
            </w:r>
          </w:p>
        </w:tc>
      </w:tr>
      <w:tr>
        <w:tc>
          <w:p>
            <w:pPr>
              <w:pStyle w:val="Compact"/>
              <w:jc w:val="left"/>
            </w:pPr>
            <w:r>
              <w:t xml:space="preserve">内审与管理评审记录</w:t>
            </w:r>
          </w:p>
        </w:tc>
        <w:tc>
          <w:p>
            <w:pPr>
              <w:pStyle w:val="Compact"/>
              <w:jc w:val="left"/>
            </w:pPr>
            <w:r>
              <w:t xml:space="preserve">内审按检查表逐条记录客观证据（文件号、记录号、现场观察）、不符合项写条款号与事实；管理评审记录输入输出齐全、决议有责任人与期限</w:t>
            </w:r>
          </w:p>
        </w:tc>
        <w:tc>
          <w:p>
            <w:pPr>
              <w:pStyle w:val="Compact"/>
              <w:jc w:val="left"/>
            </w:pPr>
            <w:r>
              <w:t xml:space="preserve">检查表只打勾不写证据；不符合项只有结论没有事实描述</w:t>
            </w:r>
          </w:p>
        </w:tc>
      </w:tr>
      <w:tr>
        <w:tc>
          <w:p>
            <w:pPr>
              <w:pStyle w:val="Compact"/>
              <w:jc w:val="left"/>
            </w:pPr>
            <w:r>
              <w:t xml:space="preserve">培训与人员记录</w:t>
            </w:r>
          </w:p>
        </w:tc>
        <w:tc>
          <w:p>
            <w:pPr>
              <w:pStyle w:val="Compact"/>
              <w:jc w:val="left"/>
            </w:pPr>
            <w:r>
              <w:t xml:space="preserve">签到表本人签名（不得代签）、培训内容与时长、讲师、考核方式与结果、效果评价结论</w:t>
            </w:r>
          </w:p>
        </w:tc>
        <w:tc>
          <w:p>
            <w:pPr>
              <w:pStyle w:val="Compact"/>
              <w:jc w:val="left"/>
            </w:pPr>
            <w:r>
              <w:t xml:space="preserve">签到表事后统一补签；考核结果全部为</w:t>
            </w:r>
            <w:r>
              <w:t xml:space="preserve">“</w:t>
            </w:r>
            <w:r>
              <w:t xml:space="preserve">优</w:t>
            </w:r>
            <w:r>
              <w:t xml:space="preserve">”</w:t>
            </w:r>
          </w:p>
        </w:tc>
      </w:tr>
      <w:tr>
        <w:tc>
          <w:p>
            <w:pPr>
              <w:pStyle w:val="Compact"/>
              <w:jc w:val="left"/>
            </w:pPr>
            <w:r>
              <w:t xml:space="preserve">顾客与投诉记录</w:t>
            </w:r>
          </w:p>
        </w:tc>
        <w:tc>
          <w:p>
            <w:pPr>
              <w:pStyle w:val="Compact"/>
              <w:jc w:val="left"/>
            </w:pPr>
            <w:r>
              <w:t xml:space="preserve">投诉时间与来源、顾客原话描述、涉及产品与批次、初步归类、处理措施与回复日期、顾客确认方式与结果</w:t>
            </w:r>
          </w:p>
        </w:tc>
        <w:tc>
          <w:p>
            <w:pPr>
              <w:pStyle w:val="Compact"/>
              <w:jc w:val="left"/>
            </w:pPr>
            <w:r>
              <w:t xml:space="preserve">只记处理结果不记顾客诉求；回复日期晚于承诺无说明</w:t>
            </w:r>
          </w:p>
        </w:tc>
      </w:tr>
    </w:tbl>
    <w:p>
      <w:pPr>
        <w:pStyle w:val="BodyText"/>
      </w:pPr>
      <w:r>
        <w:t xml:space="preserve">4.5.1 各归口部门可针对上表制定更细的</w:t>
      </w:r>
      <w:r>
        <w:t xml:space="preserve">“</w:t>
      </w:r>
      <w:r>
        <w:t xml:space="preserve">填写示例</w:t>
      </w:r>
      <w:r>
        <w:t xml:space="preserve">”</w:t>
      </w:r>
      <w:r>
        <w:t xml:space="preserve">，以一张真实（脱敏）的填写样本作为新员工参照，实践证明这比文字说明更有效。</w:t>
      </w:r>
    </w:p>
    <w:p>
      <w:pPr>
        <w:pStyle w:val="Heading3"/>
      </w:pPr>
      <w:bookmarkStart w:id="30" w:name="记录的收集与整理"/>
      <w:r>
        <w:t xml:space="preserve">4.6 记录的收集与整理</w:t>
      </w:r>
      <w:bookmarkEnd w:id="30"/>
    </w:p>
    <w:p>
      <w:pPr>
        <w:pStyle w:val="FirstParagraph"/>
      </w:pPr>
      <w:r>
        <w:t xml:space="preserve">4.6.1</w:t>
      </w:r>
      <w:r>
        <w:t xml:space="preserve"> </w:t>
      </w:r>
      <w:r>
        <w:rPr>
          <w:b/>
        </w:rPr>
        <w:t xml:space="preserve">收集时点</w:t>
      </w:r>
      <w:r>
        <w:t xml:space="preserve">。日常性记录（检验、点检、生产、仓储）实行</w:t>
      </w:r>
      <w:r>
        <w:t xml:space="preserve">“</w:t>
      </w:r>
      <w:r>
        <w:t xml:space="preserve">当班完成、当班入盒</w:t>
      </w:r>
      <w:r>
        <w:t xml:space="preserve">”</w:t>
      </w:r>
      <w:r>
        <w:t xml:space="preserve">；表单类记录由填写人在当班结束前投入本部门指定的记录暂存盒或移交收集人，不得留在工位抽屉、工具箱、设备面板上过夜。周期性记录（月度、季度）在形成后 3 个工作日内移交。</w:t>
      </w:r>
    </w:p>
    <w:p>
      <w:pPr>
        <w:pStyle w:val="BodyText"/>
      </w:pPr>
      <w:r>
        <w:t xml:space="preserve">4.6.2</w:t>
      </w:r>
      <w:r>
        <w:t xml:space="preserve"> </w:t>
      </w:r>
      <w:r>
        <w:rPr>
          <w:b/>
        </w:rPr>
        <w:t xml:space="preserve">收集责任</w:t>
      </w:r>
      <w:r>
        <w:t xml:space="preserve">。各部门负责人指定本部门收集人（通常为班组长或内勤），收集人在每班末核对本班记录的份数是否与生产日报／派工单的数量对应，发现缺页立即追补；核对结果在《记录交接单》上签名，形成部门内部的闭环。</w:t>
      </w:r>
    </w:p>
    <w:p>
      <w:pPr>
        <w:pStyle w:val="BodyText"/>
      </w:pPr>
      <w:r>
        <w:t xml:space="preserve">4.6.3</w:t>
      </w:r>
      <w:r>
        <w:t xml:space="preserve"> </w:t>
      </w:r>
      <w:r>
        <w:rPr>
          <w:b/>
        </w:rPr>
        <w:t xml:space="preserve">移交核对</w:t>
      </w:r>
      <w:r>
        <w:t xml:space="preserve">。向资料员移交时，双方共同核对三项：份数与《记录交接单》一致、每份有签名与日期、表单编号为现行版本；核对无误后双方在《记录交接单》签字，各留一份。移交中发现缺失或空白记录，不得</w:t>
      </w:r>
      <w:r>
        <w:t xml:space="preserve">“</w:t>
      </w:r>
      <w:r>
        <w:t xml:space="preserve">先收下再说</w:t>
      </w:r>
      <w:r>
        <w:t xml:space="preserve">”</w:t>
      </w:r>
      <w:r>
        <w:t xml:space="preserve">，应现场注明并在 1 个工作日内补齐。</w:t>
      </w:r>
    </w:p>
    <w:p>
      <w:pPr>
        <w:pStyle w:val="BodyText"/>
      </w:pPr>
      <w:r>
        <w:t xml:space="preserve">4.6.4</w:t>
      </w:r>
      <w:r>
        <w:t xml:space="preserve"> </w:t>
      </w:r>
      <w:r>
        <w:rPr>
          <w:b/>
        </w:rPr>
        <w:t xml:space="preserve">整理编页</w:t>
      </w:r>
      <w:r>
        <w:t xml:space="preserve">。资料员对接收的记录按</w:t>
      </w:r>
      <w:r>
        <w:t xml:space="preserve">“</w:t>
      </w:r>
      <w:r>
        <w:t xml:space="preserve">类别—月份／批次—表单编号</w:t>
      </w:r>
      <w:r>
        <w:t xml:space="preserve">”</w:t>
      </w:r>
      <w:r>
        <w:t xml:space="preserve">排序，逐页编连续页号（如手写</w:t>
      </w:r>
      <w:r>
        <w:t xml:space="preserve">“</w:t>
      </w:r>
      <w:r>
        <w:t xml:space="preserve">第 X 页／共 Y 页</w:t>
      </w:r>
      <w:r>
        <w:t xml:space="preserve">”</w:t>
      </w:r>
      <w:r>
        <w:t xml:space="preserve">或盖页码章），排序原则为同一批次、同一工序的原始记录保持先后关系；不得按大小页、按字迹好坏挑拣排列。</w:t>
      </w:r>
    </w:p>
    <w:p>
      <w:pPr>
        <w:pStyle w:val="BodyText"/>
      </w:pPr>
      <w:r>
        <w:t xml:space="preserve">4.6.5</w:t>
      </w:r>
      <w:r>
        <w:t xml:space="preserve"> </w:t>
      </w:r>
      <w:r>
        <w:rPr>
          <w:b/>
        </w:rPr>
        <w:t xml:space="preserve">暂存保护</w:t>
      </w:r>
      <w:r>
        <w:t xml:space="preserve">。部门暂存点的记录应存放于带锁文件柜或指定架位，防潮、防油污、防丢失；生产现场的记录不得与化学品、油料、水杯混放，避免字迹褪色或模糊。</w:t>
      </w:r>
    </w:p>
    <w:p>
      <w:pPr>
        <w:pStyle w:val="Heading3"/>
      </w:pPr>
      <w:bookmarkStart w:id="31" w:name="记录的归档"/>
      <w:r>
        <w:t xml:space="preserve">4.7 记录的归档</w:t>
      </w:r>
      <w:bookmarkEnd w:id="31"/>
    </w:p>
    <w:p>
      <w:pPr>
        <w:pStyle w:val="FirstParagraph"/>
      </w:pPr>
      <w:r>
        <w:t xml:space="preserve">4.7.1</w:t>
      </w:r>
      <w:r>
        <w:t xml:space="preserve"> </w:t>
      </w:r>
      <w:r>
        <w:rPr>
          <w:b/>
        </w:rPr>
        <w:t xml:space="preserve">归档方式</w:t>
      </w:r>
      <w:r>
        <w:t xml:space="preserve">。原则上</w:t>
      </w:r>
      <w:r>
        <w:rPr>
          <w:b/>
        </w:rPr>
        <w:t xml:space="preserve">按月归档</w:t>
      </w:r>
      <w:r>
        <w:t xml:space="preserve">（生产节奏快的企业可按周，批量一次性项目可按批归档）：资料员在次月 5 个工作日内完成上月记录的归档。凡有法定或顾客追溯要求的记录（检验、试验、计量、放行）不得跨季度归档。</w:t>
      </w:r>
    </w:p>
    <w:p>
      <w:pPr>
        <w:pStyle w:val="BodyText"/>
      </w:pPr>
      <w:r>
        <w:t xml:space="preserve">4.7.2</w:t>
      </w:r>
      <w:r>
        <w:t xml:space="preserve"> </w:t>
      </w:r>
      <w:r>
        <w:rPr>
          <w:b/>
        </w:rPr>
        <w:t xml:space="preserve">装订成册</w:t>
      </w:r>
      <w:r>
        <w:t xml:space="preserve">。同一类别、同一月份（或批次）的记录按顺序装订成册，装订要求：加封面（写明记录名称、所属月份或批次、册号、份数与页数、归档日期、资料员）、加目录页（列明册内每份记录的编号与页号）、装订牢固（三孔装订或胶装，禁用金属大头针、回形针夹持，避免锈蚀与脱落）、脊背或封面标明册号便于上架检索。</w:t>
      </w:r>
    </w:p>
    <w:p>
      <w:pPr>
        <w:pStyle w:val="BodyText"/>
      </w:pPr>
      <w:r>
        <w:t xml:space="preserve">4.7.3</w:t>
      </w:r>
      <w:r>
        <w:t xml:space="preserve"> </w:t>
      </w:r>
      <w:r>
        <w:rPr>
          <w:b/>
        </w:rPr>
        <w:t xml:space="preserve">单独归档的情形</w:t>
      </w:r>
      <w:r>
        <w:t xml:space="preserve">。以下记录应单独成册或单独建夹，不与普通记录混册：不合格品处置与让步接收记录、顾客投诉与重大质量问题记录、内审与管理评审记录、计量器具校准证书原件、顾客提供的技术要求与验收资料副本、纠正与预防措施跟踪记录。</w:t>
      </w:r>
    </w:p>
    <w:p>
      <w:pPr>
        <w:pStyle w:val="BodyText"/>
      </w:pPr>
      <w:r>
        <w:t xml:space="preserve">4.7.4</w:t>
      </w:r>
      <w:r>
        <w:t xml:space="preserve"> </w:t>
      </w:r>
      <w:r>
        <w:rPr>
          <w:b/>
        </w:rPr>
        <w:t xml:space="preserve">归档登记</w:t>
      </w:r>
      <w:r>
        <w:t xml:space="preserve">。每册归档后立即登记《记录归档登记表》，登记内容为：册号、记录名称与类别、期间或批次、份数页数、表单编号、来源部门、归档日期、保管部门、存放位置（库位号／柜号／层号）、保存期限至（年月）、资料员签名。登记表按年度装订，作为记录库的总索引。</w:t>
      </w:r>
    </w:p>
    <w:p>
      <w:pPr>
        <w:pStyle w:val="BodyText"/>
      </w:pPr>
      <w:r>
        <w:t xml:space="preserve">4.7.5</w:t>
      </w:r>
      <w:r>
        <w:t xml:space="preserve"> </w:t>
      </w:r>
      <w:r>
        <w:rPr>
          <w:b/>
        </w:rPr>
        <w:t xml:space="preserve">存放与检索</w:t>
      </w:r>
      <w:r>
        <w:t xml:space="preserve">。记录库按类别分区、按年度排序、按册号定位，做到</w:t>
      </w:r>
      <w:r>
        <w:t xml:space="preserve">“</w:t>
      </w:r>
      <w:r>
        <w:t xml:space="preserve">说明位置即可取出</w:t>
      </w:r>
      <w:r>
        <w:t xml:space="preserve">”</w:t>
      </w:r>
      <w:r>
        <w:t xml:space="preserve">：任何一类记录，能通过《记录清单》→《记录归档登记表》→库位号三级索引在 10 分钟内调出；不得出现</w:t>
      </w:r>
      <w:r>
        <w:t xml:space="preserve">“</w:t>
      </w:r>
      <w:r>
        <w:t xml:space="preserve">知道有这份记录但找不到</w:t>
      </w:r>
      <w:r>
        <w:t xml:space="preserve">”</w:t>
      </w:r>
      <w:r>
        <w:t xml:space="preserve">的情形。</w:t>
      </w:r>
    </w:p>
    <w:p>
      <w:pPr>
        <w:pStyle w:val="BodyText"/>
      </w:pPr>
      <w:r>
        <w:t xml:space="preserve">4.7.6</w:t>
      </w:r>
      <w:r>
        <w:t xml:space="preserve"> </w:t>
      </w:r>
      <w:r>
        <w:rPr>
          <w:b/>
        </w:rPr>
        <w:t xml:space="preserve">电子记录归档</w:t>
      </w:r>
      <w:r>
        <w:t xml:space="preserve">。系统类电子记录按规定的留存期限保留在系统中，并每季度做一次完整备份（备份介质或云端路径应在《记录清单》中登记）；扫描类 PDF 文件按</w:t>
      </w:r>
      <w:r>
        <w:t xml:space="preserve">“</w:t>
      </w:r>
      <w:r>
        <w:t xml:space="preserve">年度／类别／月份</w:t>
      </w:r>
      <w:r>
        <w:t xml:space="preserve">”</w:t>
      </w:r>
      <w:r>
        <w:t xml:space="preserve">建立文件夹层级，文件命名统一为</w:t>
      </w:r>
      <w:r>
        <w:t xml:space="preserve">“</w:t>
      </w:r>
      <w:r>
        <w:t xml:space="preserve">表单编号_期间_批次或序号.pdf</w:t>
      </w:r>
      <w:r>
        <w:t xml:space="preserve">”</w:t>
      </w:r>
      <w:r>
        <w:t xml:space="preserve">，禁止使用</w:t>
      </w:r>
      <w:r>
        <w:t xml:space="preserve">“</w:t>
      </w:r>
      <w:r>
        <w:t xml:space="preserve">新建文件夹</w:t>
      </w:r>
      <w:r>
        <w:t xml:space="preserve">”</w:t>
      </w:r>
      <w:r>
        <w:t xml:space="preserve">“</w:t>
      </w:r>
      <w:r>
        <w:t xml:space="preserve">扫描件1</w:t>
      </w:r>
      <w:r>
        <w:t xml:space="preserve">”</w:t>
      </w:r>
      <w:r>
        <w:t xml:space="preserve">这类无法检索的命名。</w:t>
      </w:r>
    </w:p>
    <w:p>
      <w:pPr>
        <w:pStyle w:val="Heading3"/>
      </w:pPr>
      <w:bookmarkStart w:id="32" w:name="记录的保管保护与借阅"/>
      <w:r>
        <w:t xml:space="preserve">4.8 记录的保管、保护与借阅</w:t>
      </w:r>
      <w:bookmarkEnd w:id="32"/>
    </w:p>
    <w:p>
      <w:pPr>
        <w:pStyle w:val="FirstParagraph"/>
      </w:pPr>
      <w:r>
        <w:t xml:space="preserve">4.8.1</w:t>
      </w:r>
      <w:r>
        <w:t xml:space="preserve"> </w:t>
      </w:r>
      <w:r>
        <w:rPr>
          <w:b/>
        </w:rPr>
        <w:t xml:space="preserve">保管环境</w:t>
      </w:r>
      <w:r>
        <w:t xml:space="preserve">。记录库房或档案柜应满足：干燥通风、避免阳光直射、远离水源与热源、有防虫防鼠措施、有灭火器材；纸质记录不得存放在地下积水区或屋顶漏水区；库房温湿度宜维持在常规办公环境范围，长期高湿地区应放置干燥剂并每季度更换。</w:t>
      </w:r>
    </w:p>
    <w:p>
      <w:pPr>
        <w:pStyle w:val="BodyText"/>
      </w:pPr>
      <w:r>
        <w:t xml:space="preserve">4.8.2</w:t>
      </w:r>
      <w:r>
        <w:t xml:space="preserve"> </w:t>
      </w:r>
      <w:r>
        <w:rPr>
          <w:b/>
        </w:rPr>
        <w:t xml:space="preserve">安全与权限</w:t>
      </w:r>
      <w:r>
        <w:t xml:space="preserve">。记录库房及档案柜钥匙由资料员与质量部负责人分别保管；含顾客技术信息、配方、工艺参数的记录按保密要求单独存放，限定查阅权限；人员变动时办理记录库钥匙与清单的交接，交接记录留档。</w:t>
      </w:r>
    </w:p>
    <w:p>
      <w:pPr>
        <w:pStyle w:val="BodyText"/>
      </w:pPr>
      <w:r>
        <w:t xml:space="preserve">4.8.3</w:t>
      </w:r>
      <w:r>
        <w:t xml:space="preserve"> </w:t>
      </w:r>
      <w:r>
        <w:rPr>
          <w:b/>
        </w:rPr>
        <w:t xml:space="preserve">借阅规则</w:t>
      </w:r>
      <w:r>
        <w:t xml:space="preserve">。内部借阅由借阅部门负责人同意，登记《记录借阅登记表》（借阅人、部门、记录册号与名称、借阅事由、借出日期、归还日期、资料员签字）；原件原则上不外借，确需外带的按复印处理，复印须经质量部负责人批准并登记份数与去向；借出的原件应在约定的 3 个工作日内归还，逾期由资料员催还并记录。</w:t>
      </w:r>
    </w:p>
    <w:p>
      <w:pPr>
        <w:pStyle w:val="BodyText"/>
      </w:pPr>
      <w:r>
        <w:t xml:space="preserve">4.8.4</w:t>
      </w:r>
      <w:r>
        <w:t xml:space="preserve"> </w:t>
      </w:r>
      <w:r>
        <w:rPr>
          <w:b/>
        </w:rPr>
        <w:t xml:space="preserve">顾客与认证机构查阅</w:t>
      </w:r>
      <w:r>
        <w:t xml:space="preserve">。顾客验厂、第三方审核、认证审核需要查阅记录时，由质量部接待并全程陪同，按审核员抽查清单调取原件，调取与归还均登记；审核中如需复印留证，按第 4.8.3 条办理并附保密声明。不得为应对审核临时从现场</w:t>
      </w:r>
      <w:r>
        <w:t xml:space="preserve">“</w:t>
      </w:r>
      <w:r>
        <w:t xml:space="preserve">凑</w:t>
      </w:r>
      <w:r>
        <w:t xml:space="preserve">”</w:t>
      </w:r>
      <w:r>
        <w:t xml:space="preserve">记录，也不得向审核方提供已明确作废或非本公司的记录。</w:t>
      </w:r>
    </w:p>
    <w:p>
      <w:pPr>
        <w:pStyle w:val="BodyText"/>
      </w:pPr>
      <w:r>
        <w:t xml:space="preserve">4.8.5</w:t>
      </w:r>
      <w:r>
        <w:t xml:space="preserve"> </w:t>
      </w:r>
      <w:r>
        <w:rPr>
          <w:b/>
        </w:rPr>
        <w:t xml:space="preserve">记录的副本使用</w:t>
      </w:r>
      <w:r>
        <w:t xml:space="preserve">。现场使用的记录副本（如检验记录第二联）与正本具有同等效力，但归档时应保证每一份记录有唯一的正本归档去向，避免同一记录在多个部门重复归档造成</w:t>
      </w:r>
      <w:r>
        <w:t xml:space="preserve">“</w:t>
      </w:r>
      <w:r>
        <w:t xml:space="preserve">哪份为准</w:t>
      </w:r>
      <w:r>
        <w:t xml:space="preserve">”</w:t>
      </w:r>
      <w:r>
        <w:t xml:space="preserve">的争议；两联均为正本时，应在表单说明中写明两联各自归档去向。</w:t>
      </w:r>
    </w:p>
    <w:p>
      <w:pPr>
        <w:pStyle w:val="Heading3"/>
      </w:pPr>
      <w:bookmarkStart w:id="33" w:name="保管期限届满的鉴定与销毁"/>
      <w:r>
        <w:t xml:space="preserve">4.9 保管期限届满的鉴定与销毁</w:t>
      </w:r>
      <w:bookmarkEnd w:id="33"/>
    </w:p>
    <w:p>
      <w:pPr>
        <w:pStyle w:val="FirstParagraph"/>
      </w:pPr>
      <w:r>
        <w:t xml:space="preserve">4.9.1 资料员每半年（建议在 1 月与 7 月）对在库记录做一次到期清点，按《记录清单》的保存期限筛出到期册，编制《记录到期清点表》，列出册号、记录名称、期间、应保存至、实际在库情况。</w:t>
      </w:r>
    </w:p>
    <w:p>
      <w:pPr>
        <w:pStyle w:val="BodyText"/>
      </w:pPr>
      <w:r>
        <w:t xml:space="preserve">4.9.2 到期记录先做</w:t>
      </w:r>
      <w:r>
        <w:rPr>
          <w:b/>
        </w:rPr>
        <w:t xml:space="preserve">鉴定</w:t>
      </w:r>
      <w:r>
        <w:t xml:space="preserve">再谈销毁，鉴定要点为四项：是否涉及产品安全与人身安全的追溯要求；是否存在未结的顾客投诉、质量争议或诉讼；是否涉及法定强制保存期限（如产品责任、计量、特种设备要求的年限）；是否仍为在制品的追溯依据。四项中任一项成立，即延长保存并在《记录清单》中更新新的保存期限。</w:t>
      </w:r>
    </w:p>
    <w:p>
      <w:pPr>
        <w:pStyle w:val="BodyText"/>
      </w:pPr>
      <w:r>
        <w:t xml:space="preserve">4.9.3 鉴定由质量部组织，会同相关部门（生产、技术、销售、法务或外聘顾问）共同确认结论；鉴定结论与理由必须在《记录销毁申请（批准）表》上写明，不得只写</w:t>
      </w:r>
      <w:r>
        <w:t xml:space="preserve">“</w:t>
      </w:r>
      <w:r>
        <w:t xml:space="preserve">已到期</w:t>
      </w:r>
      <w:r>
        <w:t xml:space="preserve">”</w:t>
      </w:r>
      <w:r>
        <w:t xml:space="preserve">。</w:t>
      </w:r>
    </w:p>
    <w:p>
      <w:pPr>
        <w:pStyle w:val="BodyText"/>
      </w:pPr>
      <w:r>
        <w:t xml:space="preserve">4.9.4 销毁实施：批准后由资料员会同质量部人员两人以上共同销毁，销毁方式按保密要求选择碎纸、造纸厂回收或按规定焚毁；销毁过程填写销毁记录（册号、记录名称、份数页数、销毁方式、销毁日期、监销人两人签名），销毁记录本身按长期保存归档。</w:t>
      </w:r>
    </w:p>
    <w:p>
      <w:pPr>
        <w:pStyle w:val="BodyText"/>
      </w:pPr>
      <w:r>
        <w:t xml:space="preserve">4.9.5 严禁行为：个人私自处理到期记录；把含顾客信息、工艺参数的记录当废纸出售；因库房拥挤而未经鉴定提前销毁；销毁记录不留档。上述行为一经发现按公司制度追究责任，并作为内审不符合项处理。</w:t>
      </w:r>
    </w:p>
    <w:p>
      <w:pPr>
        <w:pStyle w:val="Heading3"/>
      </w:pPr>
      <w:bookmarkStart w:id="34" w:name="记录的填写与归档流程文字版流程图"/>
      <w:r>
        <w:t xml:space="preserve">4.10 记录的填写与归档流程（文字版流程图）</w:t>
      </w:r>
      <w:bookmarkEnd w:id="34"/>
    </w:p>
    <w:p>
      <w:pPr>
        <w:pStyle w:val="SourceCode"/>
      </w:pPr>
      <w:r>
        <w:rPr>
          <w:rStyle w:val="VerbatimChar"/>
        </w:rPr>
        <w:t xml:space="preserve">表单设计与《记录清单》登记（质量部，与文件同步）</w:t>
      </w:r>
      <w:r>
        <w:br/>
      </w:r>
      <w:r>
        <w:rPr>
          <w:rStyle w:val="VerbatimChar"/>
        </w:rPr>
        <w:t xml:space="preserve"> → 受控印制与发放（文控员，多联标明联次与去向）</w:t>
      </w:r>
      <w:r>
        <w:br/>
      </w:r>
      <w:r>
        <w:rPr>
          <w:rStyle w:val="VerbatimChar"/>
        </w:rPr>
        <w:t xml:space="preserve"> → 现场按规则填写（填写人当班完成，规范更正）</w:t>
      </w:r>
      <w:r>
        <w:br/>
      </w:r>
      <w:r>
        <w:rPr>
          <w:rStyle w:val="VerbatimChar"/>
        </w:rPr>
        <w:t xml:space="preserve"> → 见证／复核签署（需双签的记录当场完成）</w:t>
      </w:r>
      <w:r>
        <w:br/>
      </w:r>
      <w:r>
        <w:rPr>
          <w:rStyle w:val="VerbatimChar"/>
        </w:rPr>
        <w:t xml:space="preserve"> → 当班投入部门暂存点（填写人）</w:t>
      </w:r>
      <w:r>
        <w:br/>
      </w:r>
      <w:r>
        <w:rPr>
          <w:rStyle w:val="VerbatimChar"/>
        </w:rPr>
        <w:t xml:space="preserve"> → 部门收集人核对份数（对照生产日报／派工单）</w:t>
      </w:r>
      <w:r>
        <w:br/>
      </w:r>
      <w:r>
        <w:rPr>
          <w:rStyle w:val="VerbatimChar"/>
        </w:rPr>
        <w:t xml:space="preserve"> → 与资料员移交核对并签《记录交接单》（双方签字，每班或每周）</w:t>
      </w:r>
      <w:r>
        <w:br/>
      </w:r>
      <w:r>
        <w:rPr>
          <w:rStyle w:val="VerbatimChar"/>
        </w:rPr>
        <w:t xml:space="preserve"> → 分类排序、编页、装订成册（资料员，次月 5 个工作日内）</w:t>
      </w:r>
      <w:r>
        <w:br/>
      </w:r>
      <w:r>
        <w:rPr>
          <w:rStyle w:val="VerbatimChar"/>
        </w:rPr>
        <w:t xml:space="preserve"> → 加封面与目录，登记《记录归档登记表》</w:t>
      </w:r>
      <w:r>
        <w:br/>
      </w:r>
      <w:r>
        <w:rPr>
          <w:rStyle w:val="VerbatimChar"/>
        </w:rPr>
        <w:t xml:space="preserve"> → 上架存放（按类别—年度—册号定位，三级索引可检索）</w:t>
      </w:r>
      <w:r>
        <w:br/>
      </w:r>
      <w:r>
        <w:rPr>
          <w:rStyle w:val="VerbatimChar"/>
        </w:rPr>
        <w:t xml:space="preserve"> → 日常保管与环境保护（资料员月度检查，半年到期清点）</w:t>
      </w:r>
      <w:r>
        <w:br/>
      </w:r>
      <w:r>
        <w:rPr>
          <w:rStyle w:val="VerbatimChar"/>
        </w:rPr>
        <w:t xml:space="preserve"> → 借阅与查阅登记（《记录借阅登记表》，原件不外借）</w:t>
      </w:r>
      <w:r>
        <w:br/>
      </w:r>
      <w:r>
        <w:rPr>
          <w:rStyle w:val="VerbatimChar"/>
        </w:rPr>
        <w:t xml:space="preserve"> → 到期鉴定（质量部会同相关部门，四项要点核实）</w:t>
      </w:r>
      <w:r>
        <w:br/>
      </w:r>
      <w:r>
        <w:rPr>
          <w:rStyle w:val="VerbatimChar"/>
        </w:rPr>
        <w:t xml:space="preserve"> → 批准销毁或延长保存（管理者代表）</w:t>
      </w:r>
      <w:r>
        <w:br/>
      </w:r>
      <w:r>
        <w:rPr>
          <w:rStyle w:val="VerbatimChar"/>
        </w:rPr>
        <w:t xml:space="preserve"> → 两人以上监销并留销毁记录（长期保存）</w:t>
      </w:r>
    </w:p>
    <w:p>
      <w:pPr>
        <w:pStyle w:val="Heading2"/>
      </w:pPr>
      <w:bookmarkStart w:id="35" w:name="五相关记录"/>
      <w:r>
        <w:t xml:space="preserve">五、相关记录</w:t>
      </w:r>
      <w:bookmarkEnd w:id="35"/>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记录表单</w:t>
            </w:r>
          </w:p>
        </w:tc>
        <w:tc>
          <w:tcPr>
            <w:tcBorders>
              <w:bottom w:val="single"/>
            </w:tcBorders>
            <w:vAlign w:val="bottom"/>
          </w:tcPr>
          <w:p>
            <w:pPr>
              <w:pStyle w:val="Compact"/>
              <w:jc w:val="left"/>
            </w:pPr>
            <w:r>
              <w:t xml:space="preserve">编号示例</w:t>
            </w:r>
          </w:p>
        </w:tc>
        <w:tc>
          <w:tcPr>
            <w:tcBorders>
              <w:bottom w:val="single"/>
            </w:tcBorders>
            <w:vAlign w:val="bottom"/>
          </w:tcPr>
          <w:p>
            <w:pPr>
              <w:pStyle w:val="Compact"/>
              <w:jc w:val="left"/>
            </w:pPr>
            <w:r>
              <w:t xml:space="preserve">记录内容要点</w:t>
            </w:r>
          </w:p>
        </w:tc>
        <w:tc>
          <w:tcPr>
            <w:tcBorders>
              <w:bottom w:val="single"/>
            </w:tcBorders>
            <w:vAlign w:val="bottom"/>
          </w:tcPr>
          <w:p>
            <w:pPr>
              <w:pStyle w:val="Compact"/>
              <w:jc w:val="left"/>
            </w:pPr>
            <w:r>
              <w:t xml:space="preserve">保管部门与期限</w:t>
            </w:r>
          </w:p>
        </w:tc>
      </w:tr>
      <w:tr>
        <w:tc>
          <w:p>
            <w:pPr>
              <w:pStyle w:val="Compact"/>
              <w:jc w:val="left"/>
            </w:pPr>
            <w:r>
              <w:t xml:space="preserve">《记录清单》</w:t>
            </w:r>
          </w:p>
        </w:tc>
        <w:tc>
          <w:p>
            <w:pPr>
              <w:pStyle w:val="Compact"/>
              <w:jc w:val="left"/>
            </w:pPr>
            <w:r>
              <w:t xml:space="preserve">QMS-QR-QM-41</w:t>
            </w:r>
          </w:p>
        </w:tc>
        <w:tc>
          <w:p>
            <w:pPr>
              <w:pStyle w:val="Compact"/>
              <w:jc w:val="left"/>
            </w:pPr>
            <w:r>
              <w:t xml:space="preserve">记录名称、表单编号、归属文件编号、填写人岗位、填写频次、联次与去向、收集人、归档时限、保管部门、保存期限、存放位置、载体形式</w:t>
            </w:r>
          </w:p>
        </w:tc>
        <w:tc>
          <w:p>
            <w:pPr>
              <w:pStyle w:val="Compact"/>
              <w:jc w:val="left"/>
            </w:pPr>
            <w:r>
              <w:t xml:space="preserve">质量部，长期</w:t>
            </w:r>
          </w:p>
        </w:tc>
      </w:tr>
      <w:tr>
        <w:tc>
          <w:p>
            <w:pPr>
              <w:pStyle w:val="Compact"/>
              <w:jc w:val="left"/>
            </w:pPr>
            <w:r>
              <w:t xml:space="preserve">《记录交接单》</w:t>
            </w:r>
          </w:p>
        </w:tc>
        <w:tc>
          <w:p>
            <w:pPr>
              <w:pStyle w:val="Compact"/>
              <w:jc w:val="left"/>
            </w:pPr>
            <w:r>
              <w:t xml:space="preserve">QMS-QR-QM-42</w:t>
            </w:r>
          </w:p>
        </w:tc>
        <w:tc>
          <w:p>
            <w:pPr>
              <w:pStyle w:val="Compact"/>
              <w:jc w:val="left"/>
            </w:pPr>
            <w:r>
              <w:t xml:space="preserve">交接日期、来源部门、记录名称与表单编号、份数、期间或批次、缺失或空白情况说明、补充完成日期、移交人与接收人签名（各留一份）</w:t>
            </w:r>
          </w:p>
        </w:tc>
        <w:tc>
          <w:p>
            <w:pPr>
              <w:pStyle w:val="Compact"/>
              <w:jc w:val="left"/>
            </w:pPr>
            <w:r>
              <w:t xml:space="preserve">质量部，3 年</w:t>
            </w:r>
          </w:p>
        </w:tc>
      </w:tr>
      <w:tr>
        <w:tc>
          <w:p>
            <w:pPr>
              <w:pStyle w:val="Compact"/>
              <w:jc w:val="left"/>
            </w:pPr>
            <w:r>
              <w:t xml:space="preserve">《记录归档登记表》</w:t>
            </w:r>
          </w:p>
        </w:tc>
        <w:tc>
          <w:p>
            <w:pPr>
              <w:pStyle w:val="Compact"/>
              <w:jc w:val="left"/>
            </w:pPr>
            <w:r>
              <w:t xml:space="preserve">QMS-QR-QM-43</w:t>
            </w:r>
          </w:p>
        </w:tc>
        <w:tc>
          <w:p>
            <w:pPr>
              <w:pStyle w:val="Compact"/>
              <w:jc w:val="left"/>
            </w:pPr>
            <w:r>
              <w:t xml:space="preserve">册号、记录名称与类别、期间或批次、份数页数、表单编号、来源部门、归档日期、保管部门、存放位置、保存期限至（年月）、资料员签名</w:t>
            </w:r>
          </w:p>
        </w:tc>
        <w:tc>
          <w:p>
            <w:pPr>
              <w:pStyle w:val="Compact"/>
              <w:jc w:val="left"/>
            </w:pPr>
            <w:r>
              <w:t xml:space="preserve">质量部，长期</w:t>
            </w:r>
          </w:p>
        </w:tc>
      </w:tr>
      <w:tr>
        <w:tc>
          <w:p>
            <w:pPr>
              <w:pStyle w:val="Compact"/>
              <w:jc w:val="left"/>
            </w:pPr>
            <w:r>
              <w:t xml:space="preserve">《记录借阅登记表》</w:t>
            </w:r>
          </w:p>
        </w:tc>
        <w:tc>
          <w:p>
            <w:pPr>
              <w:pStyle w:val="Compact"/>
              <w:jc w:val="left"/>
            </w:pPr>
            <w:r>
              <w:t xml:space="preserve">QMS-QR-QM-44</w:t>
            </w:r>
          </w:p>
        </w:tc>
        <w:tc>
          <w:p>
            <w:pPr>
              <w:pStyle w:val="Compact"/>
              <w:jc w:val="left"/>
            </w:pPr>
            <w:r>
              <w:t xml:space="preserve">借阅人、部门、记录册号与名称、借阅事由、借出日期、约定归还日期、实际归还日期、是否复印及份数、批准人、资料员签字</w:t>
            </w:r>
          </w:p>
        </w:tc>
        <w:tc>
          <w:p>
            <w:pPr>
              <w:pStyle w:val="Compact"/>
              <w:jc w:val="left"/>
            </w:pPr>
            <w:r>
              <w:t xml:space="preserve">质量部，3 年</w:t>
            </w:r>
          </w:p>
        </w:tc>
      </w:tr>
      <w:tr>
        <w:tc>
          <w:p>
            <w:pPr>
              <w:pStyle w:val="Compact"/>
              <w:jc w:val="left"/>
            </w:pPr>
            <w:r>
              <w:t xml:space="preserve">《记录到期清点表》</w:t>
            </w:r>
          </w:p>
        </w:tc>
        <w:tc>
          <w:p>
            <w:pPr>
              <w:pStyle w:val="Compact"/>
              <w:jc w:val="left"/>
            </w:pPr>
            <w:r>
              <w:t xml:space="preserve">QMS-QR-QM-45</w:t>
            </w:r>
          </w:p>
        </w:tc>
        <w:tc>
          <w:p>
            <w:pPr>
              <w:pStyle w:val="Compact"/>
              <w:jc w:val="left"/>
            </w:pPr>
            <w:r>
              <w:t xml:space="preserve">清点日期、册号、记录名称、期间、应保存至、实际在库情况、初判结论（销毁／延长）、清点人签名</w:t>
            </w:r>
          </w:p>
        </w:tc>
        <w:tc>
          <w:p>
            <w:pPr>
              <w:pStyle w:val="Compact"/>
              <w:jc w:val="left"/>
            </w:pPr>
            <w:r>
              <w:t xml:space="preserve">质量部，3 年</w:t>
            </w:r>
          </w:p>
        </w:tc>
      </w:tr>
      <w:tr>
        <w:tc>
          <w:p>
            <w:pPr>
              <w:pStyle w:val="Compact"/>
              <w:jc w:val="left"/>
            </w:pPr>
            <w:r>
              <w:t xml:space="preserve">《记录销毁申请（批准）表》</w:t>
            </w:r>
          </w:p>
        </w:tc>
        <w:tc>
          <w:p>
            <w:pPr>
              <w:pStyle w:val="Compact"/>
              <w:jc w:val="left"/>
            </w:pPr>
            <w:r>
              <w:t xml:space="preserve">QMS-QR-QM-46</w:t>
            </w:r>
          </w:p>
        </w:tc>
        <w:tc>
          <w:p>
            <w:pPr>
              <w:pStyle w:val="Compact"/>
              <w:jc w:val="left"/>
            </w:pPr>
            <w:r>
              <w:t xml:space="preserve">申请日期、册号与记录名称、份数页数、保存期限与到期日、鉴定结论与理由（含四项要点核实情况）、是否延长的决定、申请人与批准人签署</w:t>
            </w:r>
          </w:p>
        </w:tc>
        <w:tc>
          <w:p>
            <w:pPr>
              <w:pStyle w:val="Compact"/>
              <w:jc w:val="left"/>
            </w:pPr>
            <w:r>
              <w:t xml:space="preserve">质量部，长期</w:t>
            </w:r>
          </w:p>
        </w:tc>
      </w:tr>
      <w:tr>
        <w:tc>
          <w:p>
            <w:pPr>
              <w:pStyle w:val="Compact"/>
              <w:jc w:val="left"/>
            </w:pPr>
            <w:r>
              <w:t xml:space="preserve">《记录销毁记录》</w:t>
            </w:r>
          </w:p>
        </w:tc>
        <w:tc>
          <w:p>
            <w:pPr>
              <w:pStyle w:val="Compact"/>
              <w:jc w:val="left"/>
            </w:pPr>
            <w:r>
              <w:t xml:space="preserve">QMS-QR-QM-47</w:t>
            </w:r>
          </w:p>
        </w:tc>
        <w:tc>
          <w:p>
            <w:pPr>
              <w:pStyle w:val="Compact"/>
              <w:jc w:val="left"/>
            </w:pPr>
            <w:r>
              <w:t xml:space="preserve">销毁日期、册号与记录名称、份数页数、销毁方式、销毁地点、监销人两名签名</w:t>
            </w:r>
          </w:p>
        </w:tc>
        <w:tc>
          <w:p>
            <w:pPr>
              <w:pStyle w:val="Compact"/>
              <w:jc w:val="left"/>
            </w:pPr>
            <w:r>
              <w:t xml:space="preserve">质量部，长期</w:t>
            </w:r>
          </w:p>
        </w:tc>
      </w:tr>
      <w:tr>
        <w:tc>
          <w:p>
            <w:pPr>
              <w:pStyle w:val="Compact"/>
              <w:jc w:val="left"/>
            </w:pPr>
            <w:r>
              <w:t xml:space="preserve">《记录库房环境检查表》</w:t>
            </w:r>
          </w:p>
        </w:tc>
        <w:tc>
          <w:p>
            <w:pPr>
              <w:pStyle w:val="Compact"/>
              <w:jc w:val="left"/>
            </w:pPr>
            <w:r>
              <w:t xml:space="preserve">QMS-QR-QM-48</w:t>
            </w:r>
          </w:p>
        </w:tc>
        <w:tc>
          <w:p>
            <w:pPr>
              <w:pStyle w:val="Compact"/>
              <w:jc w:val="left"/>
            </w:pPr>
            <w:r>
              <w:t xml:space="preserve">检查日期、温湿度、防水防潮防虫灭火设施状态、隐患与整改措施、整改完成情况、检查人签名</w:t>
            </w:r>
          </w:p>
        </w:tc>
        <w:tc>
          <w:p>
            <w:pPr>
              <w:pStyle w:val="Compact"/>
              <w:jc w:val="left"/>
            </w:pPr>
            <w:r>
              <w:t xml:space="preserve">质量部，3 年</w:t>
            </w:r>
          </w:p>
        </w:tc>
      </w:tr>
      <w:tr>
        <w:tc>
          <w:p>
            <w:pPr>
              <w:pStyle w:val="Compact"/>
              <w:jc w:val="left"/>
            </w:pPr>
            <w:r>
              <w:t xml:space="preserve">《电子记录备份记录表》</w:t>
            </w:r>
          </w:p>
        </w:tc>
        <w:tc>
          <w:p>
            <w:pPr>
              <w:pStyle w:val="Compact"/>
              <w:jc w:val="left"/>
            </w:pPr>
            <w:r>
              <w:t xml:space="preserve">QMS-QR-QM-49</w:t>
            </w:r>
          </w:p>
        </w:tc>
        <w:tc>
          <w:p>
            <w:pPr>
              <w:pStyle w:val="Compact"/>
              <w:jc w:val="left"/>
            </w:pPr>
            <w:r>
              <w:t xml:space="preserve">备份日期、系统或表单名称、备份范围与期间、备份介质或路径、备份文件校验情况、恢复测试结果、操作人签名</w:t>
            </w:r>
          </w:p>
        </w:tc>
        <w:tc>
          <w:p>
            <w:pPr>
              <w:pStyle w:val="Compact"/>
              <w:jc w:val="left"/>
            </w:pPr>
            <w:r>
              <w:t xml:space="preserve">质量部，3 年</w:t>
            </w:r>
          </w:p>
        </w:tc>
      </w:tr>
    </w:tbl>
    <w:p>
      <w:pPr>
        <w:pStyle w:val="BodyText"/>
      </w:pPr>
      <w:r>
        <w:t xml:space="preserve">填写说明：《记录交接单》一式两份，移交与接收部门各留一份，不得只签一张由单方保管；《记录归档登记表》按年度装订，登记内容与实际库位必须一致，换库位时同步修改并在备注栏注明调整日期；《记录借阅登记表》登记后原件归还时由资料员逐页核对完好在登记表上销账，缺页或污损应注明并报质量部；《记录销毁申请（批准）表》必须与《记录销毁记录》一一对应，未批准的申请不得实施销毁；《记录库房环境检查表》按月填写，不得半年一次集中补记。</w:t>
      </w:r>
    </w:p>
    <w:p>
      <w:pPr>
        <w:pStyle w:val="BodyText"/>
      </w:pPr>
      <w:r>
        <w:t xml:space="preserve">示例行（《记录归档登记表》）：</w:t>
      </w:r>
    </w:p>
    <w:tbl>
      <w:tblPr>
        <w:tblStyle w:val="Table"/>
        <w:tblW w:type="pct" w:w="0.0"/>
        <w:tblLook w:firstRow="1"/>
      </w:tblPr>
      <w:tblGrid/>
      <w:tr>
        <w:trPr>
          <w:cnfStyle w:firstRow="1"/>
        </w:trPr>
        <w:tc>
          <w:tcPr>
            <w:tcBorders>
              <w:bottom w:val="single"/>
            </w:tcBorders>
            <w:vAlign w:val="bottom"/>
          </w:tcPr>
          <w:p>
            <w:pPr>
              <w:pStyle w:val="Compact"/>
              <w:jc w:val="left"/>
            </w:pPr>
            <w:r>
              <w:t xml:space="preserve">项</w:t>
            </w:r>
          </w:p>
        </w:tc>
        <w:tc>
          <w:tcPr>
            <w:tcBorders>
              <w:bottom w:val="single"/>
            </w:tcBorders>
            <w:vAlign w:val="bottom"/>
          </w:tcPr>
          <w:p>
            <w:pPr>
              <w:pStyle w:val="Compact"/>
              <w:jc w:val="left"/>
            </w:pPr>
            <w:r>
              <w:t xml:space="preserve">示例内容</w:t>
            </w:r>
          </w:p>
        </w:tc>
      </w:tr>
      <w:tr>
        <w:tc>
          <w:p>
            <w:pPr>
              <w:pStyle w:val="Compact"/>
              <w:jc w:val="left"/>
            </w:pPr>
            <w:r>
              <w:t xml:space="preserve">册号</w:t>
            </w:r>
          </w:p>
        </w:tc>
        <w:tc>
          <w:p>
            <w:pPr>
              <w:pStyle w:val="Compact"/>
              <w:jc w:val="left"/>
            </w:pPr>
            <w:r>
              <w:t xml:space="preserve">2026-QJ-03</w:t>
            </w:r>
          </w:p>
        </w:tc>
      </w:tr>
      <w:tr>
        <w:tc>
          <w:p>
            <w:pPr>
              <w:pStyle w:val="Compact"/>
              <w:jc w:val="left"/>
            </w:pPr>
            <w:r>
              <w:t xml:space="preserve">记录名称与类别</w:t>
            </w:r>
          </w:p>
        </w:tc>
        <w:tc>
          <w:p>
            <w:pPr>
              <w:pStyle w:val="Compact"/>
              <w:jc w:val="left"/>
            </w:pPr>
            <w:r>
              <w:t xml:space="preserve">成品检验记录（检验与试验类）</w:t>
            </w:r>
          </w:p>
        </w:tc>
      </w:tr>
      <w:tr>
        <w:tc>
          <w:p>
            <w:pPr>
              <w:pStyle w:val="Compact"/>
              <w:jc w:val="left"/>
            </w:pPr>
            <w:r>
              <w:t xml:space="preserve">期间或批次</w:t>
            </w:r>
          </w:p>
        </w:tc>
        <w:tc>
          <w:p>
            <w:pPr>
              <w:pStyle w:val="Compact"/>
              <w:jc w:val="left"/>
            </w:pPr>
            <w:r>
              <w:t xml:space="preserve">2026 年 3 月，批次 2603-A 至 2603-H</w:t>
            </w:r>
          </w:p>
        </w:tc>
      </w:tr>
      <w:tr>
        <w:tc>
          <w:p>
            <w:pPr>
              <w:pStyle w:val="Compact"/>
              <w:jc w:val="left"/>
            </w:pPr>
            <w:r>
              <w:t xml:space="preserve">份数页数</w:t>
            </w:r>
          </w:p>
        </w:tc>
        <w:tc>
          <w:p>
            <w:pPr>
              <w:pStyle w:val="Compact"/>
              <w:jc w:val="left"/>
            </w:pPr>
            <w:r>
              <w:t xml:space="preserve">42 份，共 126 页</w:t>
            </w:r>
          </w:p>
        </w:tc>
      </w:tr>
      <w:tr>
        <w:tc>
          <w:p>
            <w:pPr>
              <w:pStyle w:val="Compact"/>
              <w:jc w:val="left"/>
            </w:pPr>
            <w:r>
              <w:t xml:space="preserve">表单编号</w:t>
            </w:r>
          </w:p>
        </w:tc>
        <w:tc>
          <w:p>
            <w:pPr>
              <w:pStyle w:val="Compact"/>
              <w:jc w:val="left"/>
            </w:pPr>
            <w:r>
              <w:t xml:space="preserve">QMS-QR-QM-22（B/0 版）</w:t>
            </w:r>
          </w:p>
        </w:tc>
      </w:tr>
      <w:tr>
        <w:tc>
          <w:p>
            <w:pPr>
              <w:pStyle w:val="Compact"/>
              <w:jc w:val="left"/>
            </w:pPr>
            <w:r>
              <w:t xml:space="preserve">来源部门</w:t>
            </w:r>
          </w:p>
        </w:tc>
        <w:tc>
          <w:p>
            <w:pPr>
              <w:pStyle w:val="Compact"/>
              <w:jc w:val="left"/>
            </w:pPr>
            <w:r>
              <w:t xml:space="preserve">质量部检验组</w:t>
            </w:r>
          </w:p>
        </w:tc>
      </w:tr>
      <w:tr>
        <w:tc>
          <w:p>
            <w:pPr>
              <w:pStyle w:val="Compact"/>
              <w:jc w:val="left"/>
            </w:pPr>
            <w:r>
              <w:t xml:space="preserve">归档日期</w:t>
            </w:r>
          </w:p>
        </w:tc>
        <w:tc>
          <w:p>
            <w:pPr>
              <w:pStyle w:val="Compact"/>
              <w:jc w:val="left"/>
            </w:pPr>
            <w:r>
              <w:t xml:space="preserve">2026-04-03</w:t>
            </w:r>
          </w:p>
        </w:tc>
      </w:tr>
      <w:tr>
        <w:tc>
          <w:p>
            <w:pPr>
              <w:pStyle w:val="Compact"/>
              <w:jc w:val="left"/>
            </w:pPr>
            <w:r>
              <w:t xml:space="preserve">存放位置</w:t>
            </w:r>
          </w:p>
        </w:tc>
        <w:tc>
          <w:p>
            <w:pPr>
              <w:pStyle w:val="Compact"/>
              <w:jc w:val="left"/>
            </w:pPr>
            <w:r>
              <w:t xml:space="preserve">记录库 A 区 2 号柜第 3 层</w:t>
            </w:r>
          </w:p>
        </w:tc>
      </w:tr>
      <w:tr>
        <w:tc>
          <w:p>
            <w:pPr>
              <w:pStyle w:val="Compact"/>
              <w:jc w:val="left"/>
            </w:pPr>
            <w:r>
              <w:t xml:space="preserve">保存期限至</w:t>
            </w:r>
          </w:p>
        </w:tc>
        <w:tc>
          <w:p>
            <w:pPr>
              <w:pStyle w:val="Compact"/>
              <w:jc w:val="left"/>
            </w:pPr>
            <w:r>
              <w:t xml:space="preserve">2031 年 3 月（产品寿命周期后 1 年，按《记录保存期限表》执行）</w:t>
            </w:r>
          </w:p>
        </w:tc>
      </w:tr>
    </w:tbl>
    <w:p>
      <w:pPr>
        <w:pStyle w:val="BodyText"/>
      </w:pPr>
      <w:r>
        <w:t xml:space="preserve">示例行（《记录借阅登记表》）：</w:t>
      </w:r>
    </w:p>
    <w:tbl>
      <w:tblPr>
        <w:tblStyle w:val="Table"/>
        <w:tblW w:type="pct" w:w="0.0"/>
        <w:tblLook w:firstRow="1"/>
      </w:tblPr>
      <w:tblGrid/>
      <w:tr>
        <w:trPr>
          <w:cnfStyle w:firstRow="1"/>
        </w:trPr>
        <w:tc>
          <w:tcPr>
            <w:tcBorders>
              <w:bottom w:val="single"/>
            </w:tcBorders>
            <w:vAlign w:val="bottom"/>
          </w:tcPr>
          <w:p>
            <w:pPr>
              <w:pStyle w:val="Compact"/>
              <w:jc w:val="left"/>
            </w:pPr>
            <w:r>
              <w:t xml:space="preserve">项</w:t>
            </w:r>
          </w:p>
        </w:tc>
        <w:tc>
          <w:tcPr>
            <w:tcBorders>
              <w:bottom w:val="single"/>
            </w:tcBorders>
            <w:vAlign w:val="bottom"/>
          </w:tcPr>
          <w:p>
            <w:pPr>
              <w:pStyle w:val="Compact"/>
              <w:jc w:val="left"/>
            </w:pPr>
            <w:r>
              <w:t xml:space="preserve">示例内容</w:t>
            </w:r>
          </w:p>
        </w:tc>
      </w:tr>
      <w:tr>
        <w:tc>
          <w:p>
            <w:pPr>
              <w:pStyle w:val="Compact"/>
              <w:jc w:val="left"/>
            </w:pPr>
            <w:r>
              <w:t xml:space="preserve">借阅人／部门</w:t>
            </w:r>
          </w:p>
        </w:tc>
        <w:tc>
          <w:p>
            <w:pPr>
              <w:pStyle w:val="Compact"/>
              <w:jc w:val="left"/>
            </w:pPr>
            <w:r>
              <w:t xml:space="preserve">检验员张某／质量部</w:t>
            </w:r>
          </w:p>
        </w:tc>
      </w:tr>
      <w:tr>
        <w:tc>
          <w:p>
            <w:pPr>
              <w:pStyle w:val="Compact"/>
              <w:jc w:val="left"/>
            </w:pPr>
            <w:r>
              <w:t xml:space="preserve">记录册号与名称</w:t>
            </w:r>
          </w:p>
        </w:tc>
        <w:tc>
          <w:p>
            <w:pPr>
              <w:pStyle w:val="Compact"/>
              <w:jc w:val="left"/>
            </w:pPr>
            <w:r>
              <w:t xml:space="preserve">2026-RL-01 员工培训签到表（2026 年 1～3 月）</w:t>
            </w:r>
          </w:p>
        </w:tc>
      </w:tr>
      <w:tr>
        <w:tc>
          <w:p>
            <w:pPr>
              <w:pStyle w:val="Compact"/>
              <w:jc w:val="left"/>
            </w:pPr>
            <w:r>
              <w:t xml:space="preserve">借阅事由</w:t>
            </w:r>
          </w:p>
        </w:tc>
        <w:tc>
          <w:p>
            <w:pPr>
              <w:pStyle w:val="Compact"/>
              <w:jc w:val="left"/>
            </w:pPr>
            <w:r>
              <w:t xml:space="preserve">编制一季度培训完成率统计，用于管理评审输入</w:t>
            </w:r>
          </w:p>
        </w:tc>
      </w:tr>
      <w:tr>
        <w:tc>
          <w:p>
            <w:pPr>
              <w:pStyle w:val="Compact"/>
              <w:jc w:val="left"/>
            </w:pPr>
            <w:r>
              <w:t xml:space="preserve">借出／约定归还日期</w:t>
            </w:r>
          </w:p>
        </w:tc>
        <w:tc>
          <w:p>
            <w:pPr>
              <w:pStyle w:val="Compact"/>
              <w:jc w:val="left"/>
            </w:pPr>
            <w:r>
              <w:t xml:space="preserve">2026-04-08／2026-04-10</w:t>
            </w:r>
          </w:p>
        </w:tc>
      </w:tr>
      <w:tr>
        <w:tc>
          <w:p>
            <w:pPr>
              <w:pStyle w:val="Compact"/>
              <w:jc w:val="left"/>
            </w:pPr>
            <w:r>
              <w:t xml:space="preserve">是否复印及份数</w:t>
            </w:r>
          </w:p>
        </w:tc>
        <w:tc>
          <w:p>
            <w:pPr>
              <w:pStyle w:val="Compact"/>
              <w:jc w:val="left"/>
            </w:pPr>
            <w:r>
              <w:t xml:space="preserve">不复印，原件当日查阅后归还</w:t>
            </w:r>
          </w:p>
        </w:tc>
      </w:tr>
      <w:tr>
        <w:tc>
          <w:p>
            <w:pPr>
              <w:pStyle w:val="Compact"/>
              <w:jc w:val="left"/>
            </w:pPr>
            <w:r>
              <w:t xml:space="preserve">批准人／资料员</w:t>
            </w:r>
          </w:p>
        </w:tc>
        <w:tc>
          <w:p>
            <w:pPr>
              <w:pStyle w:val="Compact"/>
              <w:jc w:val="left"/>
            </w:pPr>
            <w:r>
              <w:t xml:space="preserve">质量部负责人李某／资料员王某</w:t>
            </w:r>
          </w:p>
        </w:tc>
      </w:tr>
    </w:tbl>
    <w:p>
      <w:pPr>
        <w:pStyle w:val="Heading2"/>
      </w:pPr>
      <w:bookmarkStart w:id="36" w:name="六相关文件"/>
      <w:r>
        <w:t xml:space="preserve">六、相关文件</w:t>
      </w:r>
      <w:bookmarkEnd w:id="36"/>
    </w:p>
    <w:p>
      <w:pPr>
        <w:numPr>
          <w:ilvl w:val="0"/>
          <w:numId w:val="1003"/>
        </w:numPr>
        <w:pStyle w:val="Compact"/>
      </w:pPr>
      <w:r>
        <w:t xml:space="preserve">《记录控制程序》（QMS-PD-QM-02）</w:t>
      </w:r>
    </w:p>
    <w:p>
      <w:pPr>
        <w:numPr>
          <w:ilvl w:val="0"/>
          <w:numId w:val="1003"/>
        </w:numPr>
        <w:pStyle w:val="Compact"/>
      </w:pPr>
      <w:r>
        <w:t xml:space="preserve">《文件控制程序》（QMS-PD-QM-01）</w:t>
      </w:r>
    </w:p>
    <w:p>
      <w:pPr>
        <w:numPr>
          <w:ilvl w:val="0"/>
          <w:numId w:val="1003"/>
        </w:numPr>
        <w:pStyle w:val="Compact"/>
      </w:pPr>
      <w:r>
        <w:t xml:space="preserve">《文件编制与审批作业指导书》（QMS-WI-QM-09）</w:t>
      </w:r>
    </w:p>
    <w:p>
      <w:pPr>
        <w:numPr>
          <w:ilvl w:val="0"/>
          <w:numId w:val="1003"/>
        </w:numPr>
        <w:pStyle w:val="Compact"/>
      </w:pPr>
      <w:r>
        <w:t xml:space="preserve">《不合格品评审与处置作业指导书》（QMS-WI-QM-08）</w:t>
      </w:r>
    </w:p>
    <w:p>
      <w:pPr>
        <w:numPr>
          <w:ilvl w:val="0"/>
          <w:numId w:val="1003"/>
        </w:numPr>
        <w:pStyle w:val="Compact"/>
      </w:pPr>
      <w:r>
        <w:t xml:space="preserve">《纠正措施实施与验证作业指导书》（套包第 45 篇）</w:t>
      </w:r>
    </w:p>
    <w:p>
      <w:pPr>
        <w:numPr>
          <w:ilvl w:val="0"/>
          <w:numId w:val="1003"/>
        </w:numPr>
        <w:pStyle w:val="Compact"/>
      </w:pPr>
      <w:r>
        <w:t xml:space="preserve">《内审实施作业指导书（内审员手册）》（套包第 42 篇）</w:t>
      </w:r>
    </w:p>
    <w:p>
      <w:pPr>
        <w:numPr>
          <w:ilvl w:val="0"/>
          <w:numId w:val="1003"/>
        </w:numPr>
        <w:pStyle w:val="Compact"/>
      </w:pPr>
      <w:r>
        <w:t xml:space="preserve">《知识管理程序》（QMS-PD-QM-06）</w:t>
      </w:r>
    </w:p>
    <w:p>
      <w:pPr>
        <w:numPr>
          <w:ilvl w:val="0"/>
          <w:numId w:val="1003"/>
        </w:numPr>
        <w:pStyle w:val="Compact"/>
      </w:pPr>
      <w:r>
        <w:t xml:space="preserve">GB/T 19001-2016《质量管理体系 要求》第 7.5 条</w:t>
      </w:r>
    </w:p>
    <w:p>
      <w:pPr>
        <w:pStyle w:val="Heading2"/>
      </w:pPr>
      <w:bookmarkStart w:id="37" w:name="使用说明"/>
      <w:r>
        <w:t xml:space="preserve">使用说明</w:t>
      </w:r>
      <w:bookmarkEnd w:id="37"/>
    </w:p>
    <w:p>
      <w:pPr>
        <w:pStyle w:val="FirstParagraph"/>
      </w:pPr>
      <w:r>
        <w:rPr>
          <w:b/>
        </w:rPr>
        <w:t xml:space="preserve">一、按企业实际修改的三种适配</w:t>
      </w:r>
    </w:p>
    <w:p>
      <w:pPr>
        <w:numPr>
          <w:ilvl w:val="0"/>
          <w:numId w:val="1004"/>
        </w:numPr>
        <w:pStyle w:val="Compact"/>
      </w:pPr>
      <w:r>
        <w:rPr>
          <w:b/>
        </w:rPr>
        <w:t xml:space="preserve">按组织架构适配</w:t>
      </w:r>
      <w:r>
        <w:t xml:space="preserve">：第 3 章中的</w:t>
      </w:r>
      <w:r>
        <w:t xml:space="preserve">“</w:t>
      </w:r>
      <w:r>
        <w:t xml:space="preserve">质量部</w:t>
      </w:r>
      <w:r>
        <w:t xml:space="preserve">”</w:t>
      </w:r>
      <w:r>
        <w:t xml:space="preserve">“</w:t>
      </w:r>
      <w:r>
        <w:t xml:space="preserve">资料员</w:t>
      </w:r>
      <w:r>
        <w:t xml:space="preserve">”</w:t>
      </w:r>
      <w:r>
        <w:t xml:space="preserve">直接替换为本公司实际部门与岗位（无专职资料员时写为</w:t>
      </w:r>
      <w:r>
        <w:t xml:space="preserve">“</w:t>
      </w:r>
      <w:r>
        <w:t xml:space="preserve">质量部内勤兼记录管理员</w:t>
      </w:r>
      <w:r>
        <w:t xml:space="preserve">”</w:t>
      </w:r>
      <w:r>
        <w:t xml:space="preserve">）；一人多岗的企业可把填写人与收集人合并，但</w:t>
      </w:r>
      <w:r>
        <w:rPr>
          <w:b/>
        </w:rPr>
        <w:t xml:space="preserve">记录的真实性责任与归档的核对责任不宜由同一人独立承担</w:t>
      </w:r>
      <w:r>
        <w:t xml:space="preserve">，宜保留</w:t>
      </w:r>
      <w:r>
        <w:t xml:space="preserve">“</w:t>
      </w:r>
      <w:r>
        <w:t xml:space="preserve">部门自查＋质量部抽查</w:t>
      </w:r>
      <w:r>
        <w:t xml:space="preserve">”</w:t>
      </w:r>
      <w:r>
        <w:t xml:space="preserve">两级，这是审核最常验证的独立性设计。</w:t>
      </w:r>
    </w:p>
    <w:p>
      <w:pPr>
        <w:numPr>
          <w:ilvl w:val="0"/>
          <w:numId w:val="1004"/>
        </w:numPr>
        <w:pStyle w:val="Compact"/>
      </w:pPr>
      <w:r>
        <w:rPr>
          <w:b/>
        </w:rPr>
        <w:t xml:space="preserve">按产品类型适配</w:t>
      </w:r>
      <w:r>
        <w:t xml:space="preserve">：流程型与大批量连续生产的企业（食品、化工、建材）应把</w:t>
      </w:r>
      <w:r>
        <w:t xml:space="preserve">“</w:t>
      </w:r>
      <w:r>
        <w:t xml:space="preserve">按月归档</w:t>
      </w:r>
      <w:r>
        <w:t xml:space="preserve">”</w:t>
      </w:r>
      <w:r>
        <w:t xml:space="preserve">改为</w:t>
      </w:r>
      <w:r>
        <w:t xml:space="preserve">“</w:t>
      </w:r>
      <w:r>
        <w:t xml:space="preserve">按生产批次归档</w:t>
      </w:r>
      <w:r>
        <w:t xml:space="preserve">”</w:t>
      </w:r>
      <w:r>
        <w:t xml:space="preserve">，并强化过程参数记录的间隔要求；单件小批量、项目制的企业（工程服务、检测机构）可把</w:t>
      </w:r>
      <w:r>
        <w:t xml:space="preserve">“</w:t>
      </w:r>
      <w:r>
        <w:t xml:space="preserve">按批次</w:t>
      </w:r>
      <w:r>
        <w:t xml:space="preserve">”</w:t>
      </w:r>
      <w:r>
        <w:t xml:space="preserve">改为</w:t>
      </w:r>
      <w:r>
        <w:t xml:space="preserve">“</w:t>
      </w:r>
      <w:r>
        <w:t xml:space="preserve">按项目号归档</w:t>
      </w:r>
      <w:r>
        <w:t xml:space="preserve">”</w:t>
      </w:r>
      <w:r>
        <w:t xml:space="preserve">，一册对应一个项目，并在封面标明项目号与客户代号；纯服务型企业可将</w:t>
      </w:r>
      <w:r>
        <w:t xml:space="preserve">“</w:t>
      </w:r>
      <w:r>
        <w:t xml:space="preserve">检验记录</w:t>
      </w:r>
      <w:r>
        <w:t xml:space="preserve">”</w:t>
      </w:r>
      <w:r>
        <w:t xml:space="preserve">替换为</w:t>
      </w:r>
      <w:r>
        <w:t xml:space="preserve">“</w:t>
      </w:r>
      <w:r>
        <w:t xml:space="preserve">服务提供过程记录、服务交付确认单</w:t>
      </w:r>
      <w:r>
        <w:t xml:space="preserve">”</w:t>
      </w:r>
      <w:r>
        <w:t xml:space="preserve">，把</w:t>
      </w:r>
      <w:r>
        <w:t xml:space="preserve">“</w:t>
      </w:r>
      <w:r>
        <w:t xml:space="preserve">设备点检</w:t>
      </w:r>
      <w:r>
        <w:t xml:space="preserve">”</w:t>
      </w:r>
      <w:r>
        <w:t xml:space="preserve">替换为</w:t>
      </w:r>
      <w:r>
        <w:t xml:space="preserve">“</w:t>
      </w:r>
      <w:r>
        <w:t xml:space="preserve">服务设施与工具检查记录</w:t>
      </w:r>
      <w:r>
        <w:t xml:space="preserve">”</w:t>
      </w:r>
      <w:r>
        <w:t xml:space="preserve">，第 4.4 条的更正规则与第 4.9 条的销毁规则完全不变。</w:t>
      </w:r>
    </w:p>
    <w:p>
      <w:pPr>
        <w:numPr>
          <w:ilvl w:val="0"/>
          <w:numId w:val="1004"/>
        </w:numPr>
        <w:pStyle w:val="Compact"/>
      </w:pPr>
      <w:r>
        <w:rPr>
          <w:b/>
        </w:rPr>
        <w:t xml:space="preserve">按规模适配</w:t>
      </w:r>
      <w:r>
        <w:t xml:space="preserve">：员工 50 人以下的企业可简化装订为</w:t>
      </w:r>
      <w:r>
        <w:t xml:space="preserve">“</w:t>
      </w:r>
      <w:r>
        <w:t xml:space="preserve">按月一夹、按类分袋</w:t>
      </w:r>
      <w:r>
        <w:t xml:space="preserve">”</w:t>
      </w:r>
      <w:r>
        <w:t xml:space="preserve">，但《记录清单》《记录归档登记表》《借阅登记表》三本台账不能省；信息化程度高的企业可把归档登记与借阅登记做成电子台账，但必须保留修改留痕与导出备份，不得因</w:t>
      </w:r>
      <w:r>
        <w:t xml:space="preserve">“</w:t>
      </w:r>
      <w:r>
        <w:t xml:space="preserve">在系统里</w:t>
      </w:r>
      <w:r>
        <w:t xml:space="preserve">”</w:t>
      </w:r>
      <w:r>
        <w:t xml:space="preserve">而取消到期鉴定与销毁审批。</w:t>
      </w:r>
    </w:p>
    <w:p>
      <w:pPr>
        <w:pStyle w:val="FirstParagraph"/>
      </w:pPr>
      <w:r>
        <w:rPr>
          <w:b/>
        </w:rPr>
        <w:t xml:space="preserve">二、审核关注点</w:t>
      </w:r>
    </w:p>
    <w:p>
      <w:pPr>
        <w:numPr>
          <w:ilvl w:val="0"/>
          <w:numId w:val="1005"/>
        </w:numPr>
        <w:pStyle w:val="Compact"/>
      </w:pPr>
      <w:r>
        <w:rPr>
          <w:b/>
        </w:rPr>
        <w:t xml:space="preserve">真实性能否经受追问</w:t>
      </w:r>
      <w:r>
        <w:t xml:space="preserve">：审核员常随机抽一份现场记录，问填写人</w:t>
      </w:r>
      <w:r>
        <w:t xml:space="preserve">“</w:t>
      </w:r>
      <w:r>
        <w:t xml:space="preserve">这一笔是什么时候写的</w:t>
      </w:r>
      <w:r>
        <w:t xml:space="preserve">”</w:t>
      </w:r>
      <w:r>
        <w:t xml:space="preserve">“</w:t>
      </w:r>
      <w:r>
        <w:t xml:space="preserve">这个数据怎么来的</w:t>
      </w:r>
      <w:r>
        <w:t xml:space="preserve">”</w:t>
      </w:r>
      <w:r>
        <w:t xml:space="preserve">“</w:t>
      </w:r>
      <w:r>
        <w:t xml:space="preserve">当时设备什么状态</w:t>
      </w:r>
      <w:r>
        <w:t xml:space="preserve">”</w:t>
      </w:r>
      <w:r>
        <w:t xml:space="preserve">，若答不出或与实际不符，即以记录不真实开具不符合；记录真实性是 ISO 9001 审核中性质最严重的判定项之一。</w:t>
      </w:r>
    </w:p>
    <w:p>
      <w:pPr>
        <w:numPr>
          <w:ilvl w:val="0"/>
          <w:numId w:val="1005"/>
        </w:numPr>
        <w:pStyle w:val="Compact"/>
      </w:pPr>
      <w:r>
        <w:rPr>
          <w:b/>
        </w:rPr>
        <w:t xml:space="preserve">更正是否留痕</w:t>
      </w:r>
      <w:r>
        <w:t xml:space="preserve">：抽查记录中是否存在涂黑、覆盖、贴改、撕页痕迹；规范的划改应有原内容可辨、正确内容、更正人签名与日期四项，缺任一即判 7.5.3 不符合。</w:t>
      </w:r>
    </w:p>
    <w:p>
      <w:pPr>
        <w:numPr>
          <w:ilvl w:val="0"/>
          <w:numId w:val="1005"/>
        </w:numPr>
        <w:pStyle w:val="Compact"/>
      </w:pPr>
      <w:r>
        <w:rPr>
          <w:b/>
        </w:rPr>
        <w:t xml:space="preserve">及时性证据链</w:t>
      </w:r>
      <w:r>
        <w:t xml:space="preserve">：把检验记录的日期时间与生产日报、入库单、设备点检表交叉比对，看是否存在</w:t>
      </w:r>
      <w:r>
        <w:t xml:space="preserve">“</w:t>
      </w:r>
      <w:r>
        <w:t xml:space="preserve">生产日期在前、检验日期集中放在月底</w:t>
      </w:r>
      <w:r>
        <w:t xml:space="preserve">”</w:t>
      </w:r>
      <w:r>
        <w:t xml:space="preserve">的集中补记特征。</w:t>
      </w:r>
    </w:p>
    <w:p>
      <w:pPr>
        <w:numPr>
          <w:ilvl w:val="0"/>
          <w:numId w:val="1005"/>
        </w:numPr>
        <w:pStyle w:val="Compact"/>
      </w:pPr>
      <w:r>
        <w:rPr>
          <w:b/>
        </w:rPr>
        <w:t xml:space="preserve">完整性与可检索性</w:t>
      </w:r>
      <w:r>
        <w:t xml:space="preserve">：审核员常提出</w:t>
      </w:r>
      <w:r>
        <w:t xml:space="preserve">“</w:t>
      </w:r>
      <w:r>
        <w:t xml:space="preserve">看一下 2026 年 3 月 A 产品的成品检验记录</w:t>
      </w:r>
      <w:r>
        <w:t xml:space="preserve">”</w:t>
      </w:r>
      <w:r>
        <w:t xml:space="preserve">，考察企业能否在合理时间内调出；若现场翻箱倒柜、只找到零散几页，即判记录控制未有效实施。</w:t>
      </w:r>
    </w:p>
    <w:p>
      <w:pPr>
        <w:numPr>
          <w:ilvl w:val="0"/>
          <w:numId w:val="1005"/>
        </w:numPr>
        <w:pStyle w:val="Compact"/>
      </w:pPr>
      <w:r>
        <w:rPr>
          <w:b/>
        </w:rPr>
        <w:t xml:space="preserve">保存期限依据</w:t>
      </w:r>
      <w:r>
        <w:t xml:space="preserve">：抽查《记录清单》中的保存期限是否有依据（法规、顾客要求或企业自定），是否存在全部笼统写</w:t>
      </w:r>
      <w:r>
        <w:t xml:space="preserve">“</w:t>
      </w:r>
      <w:r>
        <w:t xml:space="preserve">1 年</w:t>
      </w:r>
      <w:r>
        <w:t xml:space="preserve">”</w:t>
      </w:r>
      <w:r>
        <w:t xml:space="preserve">的情况；汽车、医疗器械、特种设备等行业应关注行业强制保存年限。</w:t>
      </w:r>
    </w:p>
    <w:p>
      <w:pPr>
        <w:numPr>
          <w:ilvl w:val="0"/>
          <w:numId w:val="1005"/>
        </w:numPr>
        <w:pStyle w:val="Compact"/>
      </w:pPr>
      <w:r>
        <w:rPr>
          <w:b/>
        </w:rPr>
        <w:t xml:space="preserve">销毁是否合规</w:t>
      </w:r>
      <w:r>
        <w:t xml:space="preserve">：检查是否有到期记录未经鉴定即消失的情况，抽查《记录销毁申请（批准）表》与《记录销毁记录》的对应性与监销人签署。</w:t>
      </w:r>
    </w:p>
    <w:p>
      <w:pPr>
        <w:numPr>
          <w:ilvl w:val="0"/>
          <w:numId w:val="1005"/>
        </w:numPr>
        <w:pStyle w:val="Compact"/>
      </w:pPr>
      <w:r>
        <w:rPr>
          <w:b/>
        </w:rPr>
        <w:t xml:space="preserve">电子记录留痕</w:t>
      </w:r>
      <w:r>
        <w:t xml:space="preserve">：检查系统数据的修改是否保留修改人、时间与前后值；对无留痕的电子表单，应确认其已按纸质流程签署留档。</w:t>
      </w:r>
    </w:p>
    <w:p>
      <w:pPr>
        <w:pStyle w:val="FirstParagraph"/>
      </w:pPr>
      <w:r>
        <w:rPr>
          <w:b/>
        </w:rPr>
        <w:t xml:space="preserve">三、常见错误</w:t>
      </w:r>
    </w:p>
    <w:p>
      <w:pPr>
        <w:numPr>
          <w:ilvl w:val="0"/>
          <w:numId w:val="1006"/>
        </w:numPr>
        <w:pStyle w:val="Compact"/>
      </w:pPr>
      <w:r>
        <w:rPr>
          <w:b/>
        </w:rPr>
        <w:t xml:space="preserve">月底补记</w:t>
      </w:r>
      <w:r>
        <w:t xml:space="preserve">：检验记录、点检表集中到月底凭印象填写，日期连续但字迹一致、笔色相同，一眼可辨；一旦被识别，同一批记录的可信度全部受损，是审核中的高发严重不符合。</w:t>
      </w:r>
    </w:p>
    <w:p>
      <w:pPr>
        <w:numPr>
          <w:ilvl w:val="0"/>
          <w:numId w:val="1006"/>
        </w:numPr>
        <w:pStyle w:val="Compact"/>
      </w:pPr>
      <w:r>
        <w:rPr>
          <w:b/>
        </w:rPr>
        <w:t xml:space="preserve">只写结论不写数据</w:t>
      </w:r>
      <w:r>
        <w:t xml:space="preserve">：检验记录通篇</w:t>
      </w:r>
      <w:r>
        <w:t xml:space="preserve">“</w:t>
      </w:r>
      <w:r>
        <w:t xml:space="preserve">合格</w:t>
      </w:r>
      <w:r>
        <w:t xml:space="preserve">”</w:t>
      </w:r>
      <w:r>
        <w:t xml:space="preserve">“</w:t>
      </w:r>
      <w:r>
        <w:t xml:space="preserve">OK</w:t>
      </w:r>
      <w:r>
        <w:t xml:space="preserve">”</w:t>
      </w:r>
      <w:r>
        <w:t xml:space="preserve">，没有实测值、样本数与判定依据，既无法追溯也无法分析过程能力，等于把记录降级为一张通知单。</w:t>
      </w:r>
    </w:p>
    <w:p>
      <w:pPr>
        <w:numPr>
          <w:ilvl w:val="0"/>
          <w:numId w:val="1006"/>
        </w:numPr>
        <w:pStyle w:val="Compact"/>
      </w:pPr>
      <w:r>
        <w:rPr>
          <w:b/>
        </w:rPr>
        <w:t xml:space="preserve">涂黑与覆盖式更正</w:t>
      </w:r>
      <w:r>
        <w:t xml:space="preserve">：为图省事用黑色笔涂掉错误数据、贴纸覆盖或撕页重抄，现场看似整洁，实则留下最直接的篡改痕迹。</w:t>
      </w:r>
    </w:p>
    <w:p>
      <w:pPr>
        <w:numPr>
          <w:ilvl w:val="0"/>
          <w:numId w:val="1006"/>
        </w:numPr>
        <w:pStyle w:val="Compact"/>
      </w:pPr>
      <w:r>
        <w:rPr>
          <w:b/>
        </w:rPr>
        <w:t xml:space="preserve">空栏不处理</w:t>
      </w:r>
      <w:r>
        <w:t xml:space="preserve">：不适用的栏目整片留空，装订后无法判断是</w:t>
      </w:r>
      <w:r>
        <w:t xml:space="preserve">“</w:t>
      </w:r>
      <w:r>
        <w:t xml:space="preserve">未发生</w:t>
      </w:r>
      <w:r>
        <w:t xml:space="preserve">”</w:t>
      </w:r>
      <w:r>
        <w:t xml:space="preserve">还是</w:t>
      </w:r>
      <w:r>
        <w:t xml:space="preserve">“</w:t>
      </w:r>
      <w:r>
        <w:t xml:space="preserve">漏填</w:t>
      </w:r>
      <w:r>
        <w:t xml:space="preserve">”</w:t>
      </w:r>
      <w:r>
        <w:t xml:space="preserve">，审核时两种解释都不利。</w:t>
      </w:r>
    </w:p>
    <w:p>
      <w:pPr>
        <w:numPr>
          <w:ilvl w:val="0"/>
          <w:numId w:val="1006"/>
        </w:numPr>
        <w:pStyle w:val="Compact"/>
      </w:pPr>
      <w:r>
        <w:rPr>
          <w:b/>
        </w:rPr>
        <w:t xml:space="preserve">代签与追签</w:t>
      </w:r>
      <w:r>
        <w:t xml:space="preserve">：一人代签全班组的检验签名，或在事后替领导补签审核意见；签名一经比对笔迹即暴露，且构成记录不真实。</w:t>
      </w:r>
    </w:p>
    <w:p>
      <w:pPr>
        <w:numPr>
          <w:ilvl w:val="0"/>
          <w:numId w:val="1006"/>
        </w:numPr>
        <w:pStyle w:val="Compact"/>
      </w:pPr>
      <w:r>
        <w:rPr>
          <w:b/>
        </w:rPr>
        <w:t xml:space="preserve">散页无目录</w:t>
      </w:r>
      <w:r>
        <w:t xml:space="preserve">：记录按堆存放、按夹子夹住，无编页无目录无册号，调阅时只能翻找，既费时又容易丢页。</w:t>
      </w:r>
    </w:p>
    <w:p>
      <w:pPr>
        <w:numPr>
          <w:ilvl w:val="0"/>
          <w:numId w:val="1006"/>
        </w:numPr>
        <w:pStyle w:val="Compact"/>
      </w:pPr>
      <w:r>
        <w:rPr>
          <w:b/>
        </w:rPr>
        <w:t xml:space="preserve">归档不及时</w:t>
      </w:r>
      <w:r>
        <w:t xml:space="preserve">：二季度的记录到年末还在部门抽屉里，交接无单据；一旦发生顾客投诉或召回，无法在第一时间提供完整追溯链。</w:t>
      </w:r>
    </w:p>
    <w:p>
      <w:pPr>
        <w:numPr>
          <w:ilvl w:val="0"/>
          <w:numId w:val="1006"/>
        </w:numPr>
        <w:pStyle w:val="Compact"/>
      </w:pPr>
      <w:r>
        <w:rPr>
          <w:b/>
        </w:rPr>
        <w:t xml:space="preserve">同一记录重复归档或多处不留</w:t>
      </w:r>
      <w:r>
        <w:t xml:space="preserve">：同一次检验的记录在两三个部门各存一份，事后发现内容不一致却无从判定哪份为准；或以为</w:t>
      </w:r>
      <w:r>
        <w:t xml:space="preserve">“</w:t>
      </w:r>
      <w:r>
        <w:t xml:space="preserve">电子系统里有</w:t>
      </w:r>
      <w:r>
        <w:t xml:space="preserve">”</w:t>
      </w:r>
      <w:r>
        <w:t xml:space="preserve">而纸质原件无人保管。</w:t>
      </w:r>
    </w:p>
    <w:p>
      <w:pPr>
        <w:numPr>
          <w:ilvl w:val="0"/>
          <w:numId w:val="1006"/>
        </w:numPr>
        <w:pStyle w:val="Compact"/>
      </w:pPr>
      <w:r>
        <w:rPr>
          <w:b/>
        </w:rPr>
        <w:t xml:space="preserve">借阅不留痕</w:t>
      </w:r>
      <w:r>
        <w:t xml:space="preserve">：记录原件被借走后无登记、无归期，长期滞留个人手中，审核时无法出示。</w:t>
      </w:r>
    </w:p>
    <w:p>
      <w:pPr>
        <w:numPr>
          <w:ilvl w:val="0"/>
          <w:numId w:val="1006"/>
        </w:numPr>
        <w:pStyle w:val="Compact"/>
      </w:pPr>
      <w:r>
        <w:rPr>
          <w:b/>
        </w:rPr>
        <w:t xml:space="preserve">到期销毁随意</w:t>
      </w:r>
      <w:r>
        <w:t xml:space="preserve">：把到期的记录当废纸卖掉、因库房紧张提前清理、销毁记录不留档；对涉及产品安全与顾客信息的记录，这不仅是不符合项，还可能带来法律责任。</w:t>
      </w:r>
    </w:p>
    <w:p>
      <w:pPr>
        <w:numPr>
          <w:ilvl w:val="0"/>
          <w:numId w:val="1006"/>
        </w:numPr>
        <w:pStyle w:val="Compact"/>
      </w:pPr>
      <w:r>
        <w:rPr>
          <w:b/>
        </w:rPr>
        <w:t xml:space="preserve">电子记录无备份</w:t>
      </w:r>
      <w:r>
        <w:t xml:space="preserve">：所有质量数据寄托于一个系统而不做备份与恢复测试，系统故障或人员误删即造成记录大面积灭失，且无纸质兜底。</w:t>
      </w:r>
    </w:p>
    <w:p>
      <w:pPr>
        <w:numPr>
          <w:ilvl w:val="0"/>
          <w:numId w:val="1006"/>
        </w:numPr>
        <w:pStyle w:val="Compact"/>
      </w:pPr>
      <w:r>
        <w:rPr>
          <w:b/>
        </w:rPr>
        <w:t xml:space="preserve">记录与文件版本脱节</w:t>
      </w:r>
      <w:r>
        <w:t xml:space="preserve">：现场使用的是新版记录表单，但《记录清单》上仍是旧版编号；或表单改版后旧版未回收，同一栏目出现两种填法，归档后无法统一判定。</w:t>
      </w:r>
    </w:p>
    <w:p>
      <w:r>
        <w:pict>
          <v:rect style="width:0;height:1.5pt" o:hralign="center" o:hrstd="t" o:hr="t"/>
        </w:pict>
      </w:r>
    </w:p>
    <w:p>
      <w:pPr>
        <w:pStyle w:val="BlockText"/>
      </w:pPr>
      <w:r>
        <w:t xml:space="preserve">当班写完，按月成册，到期先鉴定</w:t>
      </w:r>
    </w:p>
    <w:p>
      <w:pPr>
        <w:pStyle w:val="FirstParagraph"/>
      </w:pPr>
      <w:r>
        <w:t xml:space="preserve">知识编号：2.3.1</w:t>
      </w:r>
    </w:p>
    <w:p>
      <w:pPr>
        <w:pStyle w:val="BodyText"/>
      </w:pPr>
      <w:r>
        <w:t xml:space="preserve">版本：v20260809</w:t>
      </w:r>
    </w:p>
    <w:p>
      <w:pPr>
        <w:pStyle w:val="BodyText"/>
      </w:pPr>
      <w:r>
        <w:t xml:space="preserve">作者：卓越质量智库</w:t>
      </w:r>
      <w:r>
        <w:t xml:space="preserve"> </w:t>
      </w:r>
      <w:r>
        <w:rPr>
          <w:i/>
        </w:rPr>
        <w:t xml:space="preserve">卓越质量智库致力于为质量管理从业者提供系统化的专业知识、方法论与实战工具，助力企业质量能力持续提升。</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1">
    <w:nsid w:val="ea454b4c"/>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abstractNum w:abstractNumId="99411">
    <w:nsid w:val="71315dca"/>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spelling="clean" w:grammar="clean"/>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276"/>
  <w:style w:type="paragraph" w:default="1" w:styleId="Normal">
    <w:name w:val="Normal"/>
    <w:qFormat/>
  </w:style>
  <w:style w:type="paragraph" w:styleId="BodyText">
    <w:name w:val="Body Text"/>
    <w:basedOn w:val="Normal"/>
    <w:link w:val="BodyTextChar"/>
    <w:pPr>
      <w:spacing w:before="180" w:after="180"/>
    </w:pPr>
    <w:qFormat/>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Subtitle">
    <w:name w:val="Subtitle"/>
    <w:basedOn w:val="Title"/>
    <w:next w:val="BodyText"/>
    <w:qFormat/>
    <w:pPr>
      <w:keepNext/>
      <w:keepLines/>
      <w:spacing w:before="240" w:after="240"/>
      <w:jc w:val="center"/>
    </w:pPr>
    <w:rPr>
      <w:sz w:val="30"/>
      <w:szCs w:val="30"/>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
    <w:name w:val="Abstract"/>
    <w:basedOn w:val="Normal"/>
    <w:next w:val="BodyText"/>
    <w:qFormat/>
    <w:pPr>
      <w:keepNext/>
      <w:keepLines/>
      <w:spacing w:before="300" w:after="300"/>
    </w:pPr>
    <w:rPr>
      <w:sz w:val="20"/>
      <w:szCs w:val="20"/>
    </w:rPr>
  </w:style>
  <w:style w:type="paragraph" w:styleId="Bibliography">
    <w:name w:val="Bibliography"/>
    <w:basedOn w:val="Normal"/>
    <w:next w:val="Bibliography"/>
    <w:qFormat/>
    <w:pPr/>
    <w:rPr/>
  </w:style>
  <w:style w:type="paragraph" w:styleId="Heading1">
    <w:name w:val="Heading 1"/>
    <w:basedOn w:val="Normal"/>
    <w:next w:val="BodyText"/>
    <w:uiPriority w:val="9"/>
    <w:qFormat/>
    <w:pPr>
      <w:keepNext/>
      <w:keepLines/>
      <w:spacing w:before="480" w:after="0"/>
      <w:outlineLvl w:val="0"/>
    </w:pPr>
    <w:rPr>
      <w:rFonts w:asciiTheme="majorHAnsi" w:eastAsiaTheme="majorEastAsia" w:hAnsiTheme="majorHAnsi" w:cstheme="majorBidi"/>
      <w:b/>
      <w:bCs/>
      <w:color w:val="4F81BD" w:themeColor="accent1"/>
      <w:sz w:val="32"/>
      <w:szCs w:val="32"/>
    </w:rPr>
  </w:style>
  <w:style w:type="paragraph" w:styleId="Heading2">
    <w:name w:val="Heading 2"/>
    <w:basedOn w:val="Normal"/>
    <w:next w:val="BodyText"/>
    <w:uiPriority w:val="9"/>
    <w:unhideWhenUsed/>
    <w:qFormat/>
    <w:pPr>
      <w:keepNext/>
      <w:keepLines/>
      <w:spacing w:before="200" w:after="0"/>
      <w:outlineLvl w:val="1"/>
    </w:pPr>
    <w:rPr>
      <w:rFonts w:asciiTheme="majorHAnsi" w:eastAsiaTheme="majorEastAsia" w:hAnsiTheme="majorHAnsi" w:cstheme="majorBidi"/>
      <w:b/>
      <w:bCs/>
      <w:color w:val="4F81BD" w:themeColor="accent1"/>
      <w:sz w:val="28"/>
      <w:szCs w:val="28"/>
    </w:rPr>
  </w:style>
  <w:style w:type="paragraph" w:styleId="Heading3">
    <w:name w:val="Heading 3"/>
    <w:basedOn w:val="Normal"/>
    <w:next w:val="BodyText"/>
    <w:uiPriority w:val="9"/>
    <w:unhideWhenUsed/>
    <w:qFormat/>
    <w:pPr>
      <w:keepNext/>
      <w:keepLines/>
      <w:spacing w:before="200" w:after="0"/>
      <w:outlineLvl w:val="2"/>
    </w:pPr>
    <w:rPr>
      <w:rFonts w:asciiTheme="majorHAnsi" w:eastAsiaTheme="majorEastAsia" w:hAnsiTheme="majorHAnsi" w:cstheme="majorBidi"/>
      <w:b/>
      <w:bCs/>
      <w:color w:val="4F81BD" w:themeColor="accent1"/>
      <w:sz w:val="24"/>
      <w:szCs w:val="24"/>
    </w:rPr>
  </w:style>
  <w:style w:type="paragraph" w:styleId="Heading4">
    <w:name w:val="Heading 4"/>
    <w:basedOn w:val="Normal"/>
    <w:next w:val="BodyText"/>
    <w:uiPriority w:val="9"/>
    <w:unhideWhenUsed/>
    <w:qFormat/>
    <w:pPr>
      <w:keepNext/>
      <w:keepLines/>
      <w:spacing w:before="200" w:after="0"/>
      <w:outlineLvl w:val="3"/>
    </w:pPr>
    <w:rPr>
      <w:rFonts w:asciiTheme="majorHAnsi" w:eastAsiaTheme="majorEastAsia" w:hAnsiTheme="majorHAnsi" w:cstheme="majorBidi"/>
      <w:i/>
      <w:bCs/>
      <w:color w:val="4F81BD" w:themeColor="accent1"/>
      <w:sz w:val="24"/>
      <w:szCs w:val="24"/>
    </w:rPr>
  </w:style>
  <w:style w:type="paragraph" w:styleId="Heading5">
    <w:name w:val="Heading 5"/>
    <w:basedOn w:val="Normal"/>
    <w:next w:val="BodyText"/>
    <w:uiPriority w:val="9"/>
    <w:unhideWhenUsed/>
    <w:qFormat/>
    <w:pPr>
      <w:keepNext/>
      <w:keepLines/>
      <w:spacing w:before="200" w:after="0"/>
      <w:outlineLvl w:val="4"/>
    </w:pPr>
    <w:rPr>
      <w:rFonts w:asciiTheme="majorHAnsi" w:eastAsiaTheme="majorEastAsia" w:hAnsiTheme="majorHAnsi" w:cstheme="majorBidi"/>
      <w:iCs/>
      <w:color w:val="4F81BD" w:themeColor="accent1"/>
      <w:sz w:val="24"/>
      <w:szCs w:val="24"/>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sz w:val="24"/>
      <w:szCs w:val="24"/>
    </w:rPr>
  </w:style>
  <w:style w:type="paragraph" w:styleId="Heading7">
    <w:name w:val="Heading 7"/>
    <w:basedOn w:val="Normal"/>
    <w:next w:val="BodyText"/>
    <w:uiPriority w:val="9"/>
    <w:unhideWhenUsed/>
    <w:qFormat/>
    <w:pPr>
      <w:keepNext/>
      <w:keepLines/>
      <w:spacing w:before="200" w:after="0"/>
      <w:outlineLvl w:val="6"/>
    </w:pPr>
    <w:rPr>
      <w:rFonts w:asciiTheme="majorHAnsi" w:eastAsiaTheme="majorEastAsia" w:hAnsiTheme="majorHAnsi" w:cstheme="majorBidi"/>
      <w:color w:val="4F81BD" w:themeColor="accent1"/>
      <w:sz w:val="24"/>
      <w:szCs w:val="24"/>
    </w:rPr>
  </w:style>
  <w:style w:type="paragraph" w:styleId="Heading8">
    <w:name w:val="Heading 8"/>
    <w:basedOn w:val="Normal"/>
    <w:next w:val="BodyText"/>
    <w:uiPriority w:val="9"/>
    <w:unhideWhenUsed/>
    <w:qFormat/>
    <w:pPr>
      <w:keepNext/>
      <w:keepLines/>
      <w:spacing w:before="200" w:after="0"/>
      <w:outlineLvl w:val="7"/>
    </w:pPr>
    <w:rPr>
      <w:rFonts w:asciiTheme="majorHAnsi" w:eastAsiaTheme="majorEastAsia" w:hAnsiTheme="majorHAnsi" w:cstheme="majorBidi"/>
      <w:color w:val="4F81BD" w:themeColor="accent1"/>
      <w:sz w:val="24"/>
      <w:szCs w:val="24"/>
    </w:rPr>
  </w:style>
  <w:style w:type="paragraph" w:styleId="Heading9">
    <w:name w:val="Heading 9"/>
    <w:basedOn w:val="Normal"/>
    <w:next w:val="BodyText"/>
    <w:uiPriority w:val="9"/>
    <w:unhideWhenUsed/>
    <w:qFormat/>
    <w:pPr>
      <w:keepNext/>
      <w:keepLines/>
      <w:spacing w:before="200" w:after="0"/>
      <w:outlineLvl w:val="8"/>
    </w:pPr>
    <w:rPr>
      <w:rFonts w:asciiTheme="majorHAnsi" w:eastAsiaTheme="majorEastAsia" w:hAnsiTheme="majorHAnsi" w:cstheme="majorBidi"/>
      <w:color w:val="4F81BD" w:themeColor="accent1"/>
      <w:sz w:val="24"/>
      <w:szCs w:val="24"/>
    </w:rPr>
  </w:style>
  <w:style w:type="paragraph" w:styleId="BlockText">
    <w:name w:val="Block Text"/>
    <w:basedOn w:val="BodyText"/>
    <w:next w:val="BodyText"/>
    <w:uiPriority w:val="9"/>
    <w:unhideWhenUsed/>
    <w:qFormat/>
    <w:pPr>
      <w:spacing w:before="100" w:after="100"/>
      <w:ind w:firstLine="0" w:left="480" w:right="480"/>
    </w:pPr>
  </w:style>
  <w:style w:type="paragraph" w:styleId="FootnoteText">
    <w:name w:val="Footnote Text"/>
    <w:basedOn w:val="Normal"/>
    <w:next w:val="FootnoteText"/>
    <w:uiPriority w:val="9"/>
    <w:unhideWhenUsed/>
    <w:qFormat/>
  </w:style>
  <w:style w:type="character" w:default="1" w:styleId="DefaultParagraphFont">
    <w:name w:val="Default Paragraph Font"/>
    <w:semiHidden/>
    <w:unhideWhenUsed/>
  </w:style>
  <w:style w:type="table" w:default="1" w:styleId="Table">
    <w:name w:val="Table"/>
    <w:basedOn w:val="TableNormal"/>
    <w:semiHidden/>
    <w:unhideWhenUsed/>
    <w:qFormat/>
    <w:tblPr>
      <w:tblInd w:w="0" w:type="dxa"/>
      <w:tblCellMar>
        <w:top w:w="0" w:type="dxa"/>
        <w:left w:w="108" w:type="dxa"/>
        <w:bottom w:w="0" w:type="dxa"/>
        <w:right w:w="108" w:type="dxa"/>
      </w:tblCellMar>
    </w:tbl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BodyTextChar"/>
    <w:pPr>
      <w:spacing w:before="0"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BodyTextChar">
    <w:name w:val="Body Text Char"/>
    <w:basedOn w:val="DefaultParagraphFont"/>
    <w:link w:val="BodyText"/>
  </w:style>
  <w:style w:type="character" w:customStyle="1" w:styleId="VerbatimChar">
    <w:name w:val="Verbatim Char"/>
    <w:basedOn w:val="BodyTextChar"/>
    <w:rPr>
      <w:rFonts w:ascii="Consolas" w:hAnsi="Consolas"/>
      <w:sz w:val="22"/>
    </w:rPr>
  </w:style>
  <w:style w:type="character" w:styleId="FootnoteReference">
    <w:name w:val="Footnote Reference"/>
    <w:basedOn w:val="BodyTextChar"/>
    <w:rPr>
      <w:vertAlign w:val="superscript"/>
    </w:rPr>
  </w:style>
  <w:style w:type="character" w:styleId="Hyperlink">
    <w:name w:val="Hyperlink"/>
    <w:basedOn w:val="BodyText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rFonts w:asciiTheme="majorHAnsi" w:eastAsiaTheme="majorEastAsia" w:hAnsiTheme="majorHAnsi" w:cstheme="majorBidi"/>
      <w:b w:val="0"/>
      <w:bCs w:val="0"/>
      <w:color w:val="365F91" w:themeColor="accent1" w:themeShade="BF"/>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
<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2026-09-17T04:40:02Z</dcterms:created>
  <dcterms:modified xsi:type="dcterms:W3CDTF">2026-09-17T04:40:02Z</dcterms:modified>
</cp:coreProperties>
</file>

<file path=docProps/custom.xml><?xml version="1.0" encoding="utf-8"?>
<Properties xmlns="http://schemas.openxmlformats.org/officeDocument/2006/custom-properties" xmlns:vt="http://schemas.openxmlformats.org/officeDocument/2006/docPropsVTypes"/>
</file>