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43管理评审输入准备作业指导书"/>
      <w:r>
        <w:t xml:space="preserve">ISO9001体系文件套包（43）｜管理评审输入准备作业指导书</w:t>
      </w:r>
      <w:bookmarkEnd w:id="20"/>
    </w:p>
    <w:p>
      <w:pPr>
        <w:pStyle w:val="FirstParagraph"/>
      </w:pPr>
      <w:r>
        <w:rPr>
          <w:b/>
        </w:rPr>
        <w:t xml:space="preserve">文件编号</w:t>
      </w:r>
      <w:r>
        <w:t xml:space="preserve">：WI-QA-43　|　</w:t>
      </w:r>
      <w:r>
        <w:rPr>
          <w:b/>
        </w:rPr>
        <w:t xml:space="preserve">文件级别</w:t>
      </w:r>
      <w:r>
        <w:t xml:space="preserve">：三级文件（作业指导书）　|　</w:t>
      </w:r>
      <w:r>
        <w:rPr>
          <w:b/>
        </w:rPr>
        <w:t xml:space="preserve">对应条款</w:t>
      </w:r>
      <w:r>
        <w:t xml:space="preserve">：ISO 9001:2015 9.3 管理评审（9.3.2 评审输入 / 9.3.3 评审输出）</w:t>
      </w:r>
    </w:p>
    <w:p>
      <w:pPr>
        <w:pStyle w:val="BodyText"/>
      </w:pPr>
      <w:r>
        <w:rPr>
          <w:b/>
        </w:rPr>
        <w:t xml:space="preserve">文件说明</w:t>
      </w:r>
      <w:r>
        <w:t xml:space="preserve">：本作业指导书是二级文件《管理评审程序》（QP-26）在操作层的展开。《管理评审程序》解决的是</w:t>
      </w:r>
      <w:r>
        <w:t xml:space="preserve">“</w:t>
      </w:r>
      <w:r>
        <w:t xml:space="preserve">谁主持、多久评审一次、评审结论如何形成与跟踪</w:t>
      </w:r>
      <w:r>
        <w:t xml:space="preserve">”</w:t>
      </w:r>
      <w:r>
        <w:t xml:space="preserve">这类程序性问题；本文件解决的是会议真正开始之前最容易失控的那一环——</w:t>
      </w:r>
      <w:r>
        <w:rPr>
          <w:b/>
        </w:rPr>
        <w:t xml:space="preserve">输入资料由谁准备、按什么口径准备、什么时候交、交上来之后怎么核对与汇总</w:t>
      </w:r>
      <w:r>
        <w:t xml:space="preserve">。实践中管理评审开得空、开得虚，九成不是会议本身的问题，而是输入准备的问题：数据是各部门临时凑的、口径彼此不一致、目标完成率算出来和财务报表对不上、风险和机遇的措施有效性没人跟踪、资源需求没有量化支撑，会议只能在务虚层面打转。适用于已建立质量管理体系、需要按 9.3 条款按期召开管理评审的制造、贸易与服务企业，尤其适合输入数据分散在多个部门、缺少统一口径与模板、历年评审容易流于形式的企业；同时运行 ISO 14001、ISO 45001 的企业，可用本文件的多体系输入合并思路一次准备、一次评审。文件主体包含输入构成与条款对照、准备工作时间表、部门输入包编制、归口汇总核对、完整性自查、资料包编排、会议衔接与归档八段完整条文，并附各类输入表单的字段清单、填写说明与示例行，可直接套用为受控文件发布。</w:t>
      </w:r>
    </w:p>
    <w:p>
      <w:r>
        <w:pict>
          <v:rect style="width:0;height:1.5pt" o:hralign="center" o:hrstd="t" o:hr="t"/>
        </w:pict>
      </w:r>
    </w:p>
    <w:p>
      <w:pPr>
        <w:pStyle w:val="Heading2"/>
      </w:pPr>
      <w:bookmarkStart w:id="21" w:name="一目的"/>
      <w:r>
        <w:t xml:space="preserve">一、目的</w:t>
      </w:r>
      <w:bookmarkEnd w:id="21"/>
    </w:p>
    <w:p>
      <w:pPr>
        <w:pStyle w:val="FirstParagraph"/>
      </w:pPr>
      <w:r>
        <w:t xml:space="preserve">规范管理评审输入的策划、采集、核对、汇总与提交流程，确保：</w:t>
      </w:r>
    </w:p>
    <w:p>
      <w:pPr>
        <w:numPr>
          <w:ilvl w:val="0"/>
          <w:numId w:val="1001"/>
        </w:numPr>
        <w:pStyle w:val="Compact"/>
      </w:pPr>
      <w:r>
        <w:t xml:space="preserve">标准 9.3.2 要求的全部输入项无一遗漏，每一项都有明确的提供部门、明确的交付物和明确的截止时间，不出现</w:t>
      </w:r>
      <w:r>
        <w:t xml:space="preserve">“</w:t>
      </w:r>
      <w:r>
        <w:t xml:space="preserve">会上临时口述</w:t>
      </w:r>
      <w:r>
        <w:t xml:space="preserve">”</w:t>
      </w:r>
      <w:r>
        <w:t xml:space="preserve">的情形；</w:t>
      </w:r>
    </w:p>
    <w:p>
      <w:pPr>
        <w:numPr>
          <w:ilvl w:val="0"/>
          <w:numId w:val="1001"/>
        </w:numPr>
        <w:pStyle w:val="Compact"/>
      </w:pPr>
      <w:r>
        <w:t xml:space="preserve">输入数据口径统一：同一指标在各部门之间、在体系报告与经营报表之间数值可对得上，不允许出现两套数字；</w:t>
      </w:r>
    </w:p>
    <w:p>
      <w:pPr>
        <w:numPr>
          <w:ilvl w:val="0"/>
          <w:numId w:val="1001"/>
        </w:numPr>
        <w:pStyle w:val="Compact"/>
      </w:pPr>
      <w:r>
        <w:t xml:space="preserve">输入不仅报数值，还要报趋势、报原因、报结论——每个指标都配有与目标值的对比、与上一周期的对比，以及对偏差的初步分析；</w:t>
      </w:r>
    </w:p>
    <w:p>
      <w:pPr>
        <w:numPr>
          <w:ilvl w:val="0"/>
          <w:numId w:val="1001"/>
        </w:numPr>
        <w:pStyle w:val="Compact"/>
      </w:pPr>
      <w:r>
        <w:t xml:space="preserve">输入资料在会议召开前至少提前 7 天发到参会人员手中，让最高管理者带着问题进会场，把会议时间用在判断与决策上，而不是用在听数据；</w:t>
      </w:r>
    </w:p>
    <w:p>
      <w:pPr>
        <w:numPr>
          <w:ilvl w:val="0"/>
          <w:numId w:val="1001"/>
        </w:numPr>
        <w:pStyle w:val="Compact"/>
      </w:pPr>
      <w:r>
        <w:t xml:space="preserve">输入资料与上一次评审的输出、内审结论、外部审核发现形成对应关系，实现</w:t>
      </w:r>
      <w:r>
        <w:t xml:space="preserve">“</w:t>
      </w:r>
      <w:r>
        <w:t xml:space="preserve">上一次要求的事项这一次有回音</w:t>
      </w:r>
      <w:r>
        <w:t xml:space="preserve">”</w:t>
      </w:r>
      <w:r>
        <w:t xml:space="preserve">的闭环，使管理评审真正成为体系持续改进的驱动机制。</w:t>
      </w:r>
    </w:p>
    <w:p>
      <w:pPr>
        <w:pStyle w:val="Heading2"/>
      </w:pPr>
      <w:bookmarkStart w:id="22" w:name="二适用范围"/>
      <w:r>
        <w:t xml:space="preserve">二、适用范围</w:t>
      </w:r>
      <w:bookmarkEnd w:id="22"/>
    </w:p>
    <w:p>
      <w:pPr>
        <w:pStyle w:val="FirstParagraph"/>
      </w:pPr>
      <w:r>
        <w:t xml:space="preserve">2.1 适用于本公司质量管理体系覆盖的全部过程与部门的年度管理评审输入准备活动，包括定期评审（通常每年至少一次）与专题评审（体系重大变更、重大质量事故、顾客重大投诉、法规重大变化时临时召开）。</w:t>
      </w:r>
    </w:p>
    <w:p>
      <w:pPr>
        <w:pStyle w:val="BodyText"/>
      </w:pPr>
      <w:r>
        <w:t xml:space="preserve">2.2 覆盖的输入内容按 ISO 9001:2015 第 9.3.2 条执行，包括：以往管理评审所采取措施的实施情况；与质量管理体系相关的内外部问题的变化；顾客满意和相关方的反馈；质量目标的实现程度；过程绩效以及产品和服务的符合性；不合格以及纠正措施；监视和测量结果；审核结果；外部供方的绩效；资源的充分性；应对风险和机遇所采取措施的有效性；改进的机会。</w:t>
      </w:r>
    </w:p>
    <w:p>
      <w:pPr>
        <w:pStyle w:val="BodyText"/>
      </w:pPr>
      <w:r>
        <w:t xml:space="preserve">2.3 以下活动不属本文件范围，按其对应文件执行：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情形</w:t>
            </w:r>
          </w:p>
        </w:tc>
        <w:tc>
          <w:tcPr>
            <w:tcBorders>
              <w:bottom w:val="single"/>
            </w:tcBorders>
            <w:vAlign w:val="bottom"/>
          </w:tcPr>
          <w:p>
            <w:pPr>
              <w:pStyle w:val="Compact"/>
              <w:jc w:val="left"/>
            </w:pPr>
            <w:r>
              <w:t xml:space="preserve">执行文件</w:t>
            </w:r>
          </w:p>
        </w:tc>
      </w:tr>
      <w:tr>
        <w:tc>
          <w:p>
            <w:pPr>
              <w:pStyle w:val="Compact"/>
              <w:jc w:val="left"/>
            </w:pPr>
            <w:r>
              <w:t xml:space="preserve">管理评审的会议组织、决议形成、输出跟踪与总体要求</w:t>
            </w:r>
          </w:p>
        </w:tc>
        <w:tc>
          <w:p>
            <w:pPr>
              <w:pStyle w:val="Compact"/>
              <w:jc w:val="left"/>
            </w:pPr>
            <w:r>
              <w:t xml:space="preserve">《管理评审程序》（QP-26）</w:t>
            </w:r>
          </w:p>
        </w:tc>
      </w:tr>
      <w:tr>
        <w:tc>
          <w:p>
            <w:pPr>
              <w:pStyle w:val="Compact"/>
              <w:jc w:val="left"/>
            </w:pPr>
            <w:r>
              <w:t xml:space="preserve">内部审核的策划、实施与报告</w:t>
            </w:r>
          </w:p>
        </w:tc>
        <w:tc>
          <w:p>
            <w:pPr>
              <w:pStyle w:val="Compact"/>
              <w:jc w:val="left"/>
            </w:pPr>
            <w:r>
              <w:t xml:space="preserve">《内审实施作业指导书》（WI-QA-42）</w:t>
            </w:r>
          </w:p>
        </w:tc>
      </w:tr>
      <w:tr>
        <w:tc>
          <w:p>
            <w:pPr>
              <w:pStyle w:val="Compact"/>
              <w:jc w:val="left"/>
            </w:pPr>
            <w:r>
              <w:t xml:space="preserve">各类数据的统计方法与工具选用</w:t>
            </w:r>
          </w:p>
        </w:tc>
        <w:tc>
          <w:p>
            <w:pPr>
              <w:pStyle w:val="Compact"/>
              <w:jc w:val="left"/>
            </w:pPr>
            <w:r>
              <w:t xml:space="preserve">《数据分析与统计工具应用指导书》（WI-QA-44）</w:t>
            </w:r>
          </w:p>
        </w:tc>
      </w:tr>
      <w:tr>
        <w:tc>
          <w:p>
            <w:pPr>
              <w:pStyle w:val="Compact"/>
              <w:jc w:val="left"/>
            </w:pPr>
            <w:r>
              <w:t xml:space="preserve">不合格项的原因分析与纠正措施实施</w:t>
            </w:r>
          </w:p>
        </w:tc>
        <w:tc>
          <w:p>
            <w:pPr>
              <w:pStyle w:val="Compact"/>
              <w:jc w:val="left"/>
            </w:pPr>
            <w:r>
              <w:t xml:space="preserve">《纠正措施实施与验证作业指导书》（WI-QA-45）</w:t>
            </w:r>
          </w:p>
        </w:tc>
      </w:tr>
      <w:tr>
        <w:tc>
          <w:p>
            <w:pPr>
              <w:pStyle w:val="Compact"/>
              <w:jc w:val="left"/>
            </w:pPr>
            <w:r>
              <w:t xml:space="preserve">质量目标的分解、考核与月度跟踪</w:t>
            </w:r>
          </w:p>
        </w:tc>
        <w:tc>
          <w:p>
            <w:pPr>
              <w:pStyle w:val="Compact"/>
              <w:jc w:val="left"/>
            </w:pPr>
            <w:r>
              <w:t xml:space="preserve">《质量方针与质量目标管理程序》（QP-07）</w:t>
            </w:r>
          </w:p>
        </w:tc>
      </w:tr>
      <w:tr>
        <w:tc>
          <w:p>
            <w:pPr>
              <w:pStyle w:val="Compact"/>
              <w:jc w:val="left"/>
            </w:pPr>
            <w:r>
              <w:t xml:space="preserve">部门日常经营报表、财务月报</w:t>
            </w:r>
          </w:p>
        </w:tc>
        <w:tc>
          <w:p>
            <w:pPr>
              <w:pStyle w:val="Compact"/>
              <w:jc w:val="left"/>
            </w:pPr>
            <w:r>
              <w:t xml:space="preserve">按公司经营管理相关制度执行，本文件仅规定其向管理评审输入的转换口径</w:t>
            </w:r>
          </w:p>
        </w:tc>
      </w:tr>
    </w:tbl>
    <w:p>
      <w:pPr>
        <w:pStyle w:val="BodyText"/>
      </w:pPr>
      <w:r>
        <w:t xml:space="preserve">2.4 多场所、多产品线企业应分别采集，集中汇总：异地工厂、外租仓库、驻外服务点的数据由属地负责人提交，由归口部门合并为集团层输入，不得以总部数据代替全部范围。</w:t>
      </w:r>
    </w:p>
    <w:p>
      <w:pPr>
        <w:pStyle w:val="Heading2"/>
      </w:pPr>
      <w:bookmarkStart w:id="23" w:name="三职责"/>
      <w:r>
        <w:t xml:space="preserve">三、职责</w:t>
      </w:r>
      <w:bookmarkEnd w:id="23"/>
    </w:p>
    <w:p>
      <w:pPr>
        <w:pStyle w:val="FirstParagraph"/>
      </w:pPr>
      <w:r>
        <w:t xml:space="preserve">3.1</w:t>
      </w:r>
      <w:r>
        <w:t xml:space="preserve"> </w:t>
      </w:r>
      <w:r>
        <w:rPr>
          <w:b/>
        </w:rPr>
        <w:t xml:space="preserve">总经理</w:t>
      </w:r>
      <w:r>
        <w:t xml:space="preserve">：确定管理评审的时机与重点议题方向；审阅输入资料并在会前提出需要补充说明的事项；对输入中暴露的资源缺口与系统性风险做出决策。</w:t>
      </w:r>
    </w:p>
    <w:p>
      <w:pPr>
        <w:pStyle w:val="BodyText"/>
      </w:pPr>
      <w:r>
        <w:t xml:space="preserve">3.2</w:t>
      </w:r>
      <w:r>
        <w:t xml:space="preserve"> </w:t>
      </w:r>
      <w:r>
        <w:rPr>
          <w:b/>
        </w:rPr>
        <w:t xml:space="preserve">管理者代表</w:t>
      </w:r>
      <w:r>
        <w:t xml:space="preserve">：管理评审输入的总召集人。批准输入清单、模板与时间表；批准各部门输入包；对数据口径争议做出裁定；审核《管理评审输入报告》定稿；确保输入资料按时、按要求发放至参会人员。</w:t>
      </w:r>
    </w:p>
    <w:p>
      <w:pPr>
        <w:pStyle w:val="BodyText"/>
      </w:pPr>
      <w:r>
        <w:t xml:space="preserve">3.3</w:t>
      </w:r>
      <w:r>
        <w:t xml:space="preserve"> </w:t>
      </w:r>
      <w:r>
        <w:rPr>
          <w:b/>
        </w:rPr>
        <w:t xml:space="preserve">质量部（管理评审归口管理部门）</w:t>
      </w:r>
      <w:r>
        <w:t xml:space="preserve">：负责本文件的执行落地。编制并下发《管理评审输入资料清单》与配套模板；组织输入准备启动会并宣贯数据口径；催收各部门输入包；对输入资料进行交叉核对与完整性检查；编制《管理评审输入报告》汇总稿；编排会议资料包；负责输入的归档与可追溯。</w:t>
      </w:r>
    </w:p>
    <w:p>
      <w:pPr>
        <w:pStyle w:val="BodyText"/>
      </w:pPr>
      <w:r>
        <w:t xml:space="preserve">3.4</w:t>
      </w:r>
      <w:r>
        <w:t xml:space="preserve"> </w:t>
      </w:r>
      <w:r>
        <w:rPr>
          <w:b/>
        </w:rPr>
        <w:t xml:space="preserve">各部门负责人</w:t>
      </w:r>
      <w:r>
        <w:t xml:space="preserve">：本部门输入资料的第一责任人。指定本部门数据责任人，按模板和口径采集数据，按时提交输入包，对本部门数据的真实性、完整性负责；对归口部门提出的数据疑问在 2 个工作日内答复。</w:t>
      </w:r>
    </w:p>
    <w:p>
      <w:pPr>
        <w:pStyle w:val="BodyText"/>
      </w:pPr>
      <w:r>
        <w:t xml:space="preserve">3.5</w:t>
      </w:r>
      <w:r>
        <w:t xml:space="preserve"> </w:t>
      </w:r>
      <w:r>
        <w:rPr>
          <w:b/>
        </w:rPr>
        <w:t xml:space="preserve">销售／市场部</w:t>
      </w:r>
      <w:r>
        <w:t xml:space="preserve">：提供顾客满意与投诉数据、合同履约与准时交付数据、订单与市场变化信息、顾客特殊要求及其变化、竞争对手与市场环境信息。</w:t>
      </w:r>
    </w:p>
    <w:p>
      <w:pPr>
        <w:pStyle w:val="BodyText"/>
      </w:pPr>
      <w:r>
        <w:t xml:space="preserve">3.6</w:t>
      </w:r>
      <w:r>
        <w:t xml:space="preserve"> </w:t>
      </w:r>
      <w:r>
        <w:rPr>
          <w:b/>
        </w:rPr>
        <w:t xml:space="preserve">技术／研发部</w:t>
      </w:r>
      <w:r>
        <w:t xml:space="preserve">：提供设计开发项目进展与阶段评审结果、设计变更及其实施效果、产品符合性与技术标准变化、技术类改进机会。</w:t>
      </w:r>
    </w:p>
    <w:p>
      <w:pPr>
        <w:pStyle w:val="BodyText"/>
      </w:pPr>
      <w:r>
        <w:t xml:space="preserve">3.7</w:t>
      </w:r>
      <w:r>
        <w:t xml:space="preserve"> </w:t>
      </w:r>
      <w:r>
        <w:rPr>
          <w:b/>
        </w:rPr>
        <w:t xml:space="preserve">生产部</w:t>
      </w:r>
      <w:r>
        <w:t xml:space="preserve">：提供产量与计划达成、过程能力与工序不良数据、设备运行与停机数据、工艺执行偏差、生产现场改进机会。</w:t>
      </w:r>
    </w:p>
    <w:p>
      <w:pPr>
        <w:pStyle w:val="BodyText"/>
      </w:pPr>
      <w:r>
        <w:t xml:space="preserve">3.8</w:t>
      </w:r>
      <w:r>
        <w:t xml:space="preserve"> </w:t>
      </w:r>
      <w:r>
        <w:rPr>
          <w:b/>
        </w:rPr>
        <w:t xml:space="preserve">质量部（检验与体系职能）</w:t>
      </w:r>
      <w:r>
        <w:t xml:space="preserve">：提供进货检验、过程检验、成品检验数据，不合格品统计与趋势，内外部审核结果与不符合项整改状态，监视和测量资源管理情况，质量成本与质量事故情况。</w:t>
      </w:r>
    </w:p>
    <w:p>
      <w:pPr>
        <w:pStyle w:val="BodyText"/>
      </w:pPr>
      <w:r>
        <w:t xml:space="preserve">3.9</w:t>
      </w:r>
      <w:r>
        <w:t xml:space="preserve"> </w:t>
      </w:r>
      <w:r>
        <w:rPr>
          <w:b/>
        </w:rPr>
        <w:t xml:space="preserve">采购部</w:t>
      </w:r>
      <w:r>
        <w:t xml:space="preserve">：提供外部供方绩效评价结果、来料异常与退货数据、供方变更与风险信息、关键物料供应保障情况。</w:t>
      </w:r>
    </w:p>
    <w:p>
      <w:pPr>
        <w:pStyle w:val="BodyText"/>
      </w:pPr>
      <w:r>
        <w:t xml:space="preserve">3.10</w:t>
      </w:r>
      <w:r>
        <w:t xml:space="preserve"> </w:t>
      </w:r>
      <w:r>
        <w:rPr>
          <w:b/>
        </w:rPr>
        <w:t xml:space="preserve">人力资源部</w:t>
      </w:r>
      <w:r>
        <w:t xml:space="preserve">：提供人员配置与流失情况、培训计划完成率与效果评价、岗位能力差距、人力资源需求。</w:t>
      </w:r>
    </w:p>
    <w:p>
      <w:pPr>
        <w:pStyle w:val="BodyText"/>
      </w:pPr>
      <w:r>
        <w:t xml:space="preserve">3.11</w:t>
      </w:r>
      <w:r>
        <w:t xml:space="preserve"> </w:t>
      </w:r>
      <w:r>
        <w:rPr>
          <w:b/>
        </w:rPr>
        <w:t xml:space="preserve">设备／工程部</w:t>
      </w:r>
      <w:r>
        <w:t xml:space="preserve">：提供基础设施与设备台账变化、维保与故障数据、计量器具校准状态、技改投入与效果、设备类资源需求。</w:t>
      </w:r>
    </w:p>
    <w:p>
      <w:pPr>
        <w:pStyle w:val="BodyText"/>
      </w:pPr>
      <w:r>
        <w:t xml:space="preserve">3.12</w:t>
      </w:r>
      <w:r>
        <w:t xml:space="preserve"> </w:t>
      </w:r>
      <w:r>
        <w:rPr>
          <w:b/>
        </w:rPr>
        <w:t xml:space="preserve">仓储／物流部</w:t>
      </w:r>
      <w:r>
        <w:t xml:space="preserve">：提供库存周转与账实相符情况、物料防护与破损数据、搬运与交付环节异常、仓储资源需求。</w:t>
      </w:r>
    </w:p>
    <w:p>
      <w:pPr>
        <w:pStyle w:val="BodyText"/>
      </w:pPr>
      <w:r>
        <w:t xml:space="preserve">3.13</w:t>
      </w:r>
      <w:r>
        <w:t xml:space="preserve"> </w:t>
      </w:r>
      <w:r>
        <w:rPr>
          <w:b/>
        </w:rPr>
        <w:t xml:space="preserve">财务部</w:t>
      </w:r>
      <w:r>
        <w:t xml:space="preserve">（如设立）：提供与质量相关的成本数据（预防成本、鉴定成本、内部与外部故障成本）、质量相关投入预算执行情况，供资源充分性判断使用。</w:t>
      </w:r>
    </w:p>
    <w:p>
      <w:pPr>
        <w:pStyle w:val="BodyText"/>
      </w:pPr>
      <w:r>
        <w:t xml:space="preserve">3.14</w:t>
      </w:r>
      <w:r>
        <w:t xml:space="preserve"> </w:t>
      </w:r>
      <w:r>
        <w:rPr>
          <w:b/>
        </w:rPr>
        <w:t xml:space="preserve">内审组长</w:t>
      </w:r>
      <w:r>
        <w:t xml:space="preserve">：提供当年度内部审核报告、不符合项分布与整改验证状态、体系整体有效性评价结论。</w:t>
      </w:r>
    </w:p>
    <w:p>
      <w:pPr>
        <w:pStyle w:val="Heading2"/>
      </w:pPr>
      <w:bookmarkStart w:id="24" w:name="四工作程序"/>
      <w:r>
        <w:t xml:space="preserve">四、工作程序</w:t>
      </w:r>
      <w:bookmarkEnd w:id="24"/>
    </w:p>
    <w:p>
      <w:pPr>
        <w:pStyle w:val="Heading3"/>
      </w:pPr>
      <w:bookmarkStart w:id="25" w:name="输入构成与条款对照"/>
      <w:r>
        <w:t xml:space="preserve">4.1 输入构成与条款对照</w:t>
      </w:r>
      <w:bookmarkEnd w:id="25"/>
    </w:p>
    <w:p>
      <w:pPr>
        <w:pStyle w:val="FirstParagraph"/>
      </w:pPr>
      <w:r>
        <w:t xml:space="preserve">4.1.1 质量部应按下表将标准 9.3.2 的输入要求逐条落地，形成《管理评审输入资料清单》，随通知一并下发。任何一项输入不得空缺；确无相关业务的（如纯贸易企业无生产过程），应注明</w:t>
      </w:r>
      <w:r>
        <w:t xml:space="preserve">“</w:t>
      </w:r>
      <w:r>
        <w:t xml:space="preserve">本企业无此项活动，已按删减说明处理</w:t>
      </w:r>
      <w:r>
        <w:t xml:space="preserve">”</w:t>
      </w:r>
      <w:r>
        <w:t xml:space="preserve">，而不是留白。</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标准要求输入（9.3.2）</w:t>
            </w:r>
          </w:p>
        </w:tc>
        <w:tc>
          <w:tcPr>
            <w:tcBorders>
              <w:bottom w:val="single"/>
            </w:tcBorders>
            <w:vAlign w:val="bottom"/>
          </w:tcPr>
          <w:p>
            <w:pPr>
              <w:pStyle w:val="Compact"/>
              <w:jc w:val="left"/>
            </w:pPr>
            <w:r>
              <w:t xml:space="preserve">数据／信息来源</w:t>
            </w:r>
          </w:p>
        </w:tc>
        <w:tc>
          <w:tcPr>
            <w:tcBorders>
              <w:bottom w:val="single"/>
            </w:tcBorders>
            <w:vAlign w:val="bottom"/>
          </w:tcPr>
          <w:p>
            <w:pPr>
              <w:pStyle w:val="Compact"/>
              <w:jc w:val="left"/>
            </w:pPr>
            <w:r>
              <w:t xml:space="preserve">提供部门</w:t>
            </w:r>
          </w:p>
        </w:tc>
        <w:tc>
          <w:tcPr>
            <w:tcBorders>
              <w:bottom w:val="single"/>
            </w:tcBorders>
            <w:vAlign w:val="bottom"/>
          </w:tcPr>
          <w:p>
            <w:pPr>
              <w:pStyle w:val="Compact"/>
              <w:jc w:val="left"/>
            </w:pPr>
            <w:r>
              <w:t xml:space="preserve">交付物</w:t>
            </w:r>
          </w:p>
        </w:tc>
        <w:tc>
          <w:tcPr>
            <w:tcBorders>
              <w:bottom w:val="single"/>
            </w:tcBorders>
            <w:vAlign w:val="bottom"/>
          </w:tcPr>
          <w:p>
            <w:pPr>
              <w:pStyle w:val="Compact"/>
              <w:jc w:val="left"/>
            </w:pPr>
            <w:r>
              <w:t xml:space="preserve">截止时间</w:t>
            </w:r>
          </w:p>
        </w:tc>
      </w:tr>
      <w:tr>
        <w:tc>
          <w:p>
            <w:pPr>
              <w:pStyle w:val="Compact"/>
              <w:jc w:val="left"/>
            </w:pPr>
            <w:r>
              <w:t xml:space="preserve">1</w:t>
            </w:r>
          </w:p>
        </w:tc>
        <w:tc>
          <w:p>
            <w:pPr>
              <w:pStyle w:val="Compact"/>
              <w:jc w:val="left"/>
            </w:pPr>
            <w:r>
              <w:t xml:space="preserve">a) 以往管理评审措施的实施情况</w:t>
            </w:r>
          </w:p>
        </w:tc>
        <w:tc>
          <w:p>
            <w:pPr>
              <w:pStyle w:val="Compact"/>
              <w:jc w:val="left"/>
            </w:pPr>
            <w:r>
              <w:t xml:space="preserve">上次评审输出跟踪台账</w:t>
            </w:r>
          </w:p>
        </w:tc>
        <w:tc>
          <w:p>
            <w:pPr>
              <w:pStyle w:val="Compact"/>
              <w:jc w:val="left"/>
            </w:pPr>
            <w:r>
              <w:t xml:space="preserve">质量部</w:t>
            </w:r>
          </w:p>
        </w:tc>
        <w:tc>
          <w:p>
            <w:pPr>
              <w:pStyle w:val="Compact"/>
              <w:jc w:val="left"/>
            </w:pPr>
            <w:r>
              <w:t xml:space="preserve">《措施跟踪表》</w:t>
            </w:r>
          </w:p>
        </w:tc>
        <w:tc>
          <w:p>
            <w:pPr>
              <w:pStyle w:val="Compact"/>
              <w:jc w:val="left"/>
            </w:pPr>
            <w:r>
              <w:t xml:space="preserve">T-25</w:t>
            </w:r>
          </w:p>
        </w:tc>
      </w:tr>
      <w:tr>
        <w:tc>
          <w:p>
            <w:pPr>
              <w:pStyle w:val="Compact"/>
              <w:jc w:val="left"/>
            </w:pPr>
            <w:r>
              <w:t xml:space="preserve">2</w:t>
            </w:r>
          </w:p>
        </w:tc>
        <w:tc>
          <w:p>
            <w:pPr>
              <w:pStyle w:val="Compact"/>
              <w:jc w:val="left"/>
            </w:pPr>
            <w:r>
              <w:t xml:space="preserve">b) 内外部问题的变化</w:t>
            </w:r>
          </w:p>
        </w:tc>
        <w:tc>
          <w:p>
            <w:pPr>
              <w:pStyle w:val="Compact"/>
              <w:jc w:val="left"/>
            </w:pPr>
            <w:r>
              <w:t xml:space="preserve">组织环境与相关方分析、法规与市场信息</w:t>
            </w:r>
          </w:p>
        </w:tc>
        <w:tc>
          <w:p>
            <w:pPr>
              <w:pStyle w:val="Compact"/>
              <w:jc w:val="left"/>
            </w:pPr>
            <w:r>
              <w:t xml:space="preserve">质量部＋销售部</w:t>
            </w:r>
          </w:p>
        </w:tc>
        <w:tc>
          <w:p>
            <w:pPr>
              <w:pStyle w:val="Compact"/>
              <w:jc w:val="left"/>
            </w:pPr>
            <w:r>
              <w:t xml:space="preserve">《内外部问题变化说明》</w:t>
            </w:r>
          </w:p>
        </w:tc>
        <w:tc>
          <w:p>
            <w:pPr>
              <w:pStyle w:val="Compact"/>
              <w:jc w:val="left"/>
            </w:pPr>
            <w:r>
              <w:t xml:space="preserve">T-25</w:t>
            </w:r>
          </w:p>
        </w:tc>
      </w:tr>
      <w:tr>
        <w:tc>
          <w:p>
            <w:pPr>
              <w:pStyle w:val="Compact"/>
              <w:jc w:val="left"/>
            </w:pPr>
            <w:r>
              <w:t xml:space="preserve">3</w:t>
            </w:r>
          </w:p>
        </w:tc>
        <w:tc>
          <w:p>
            <w:pPr>
              <w:pStyle w:val="Compact"/>
              <w:jc w:val="left"/>
            </w:pPr>
            <w:r>
              <w:t xml:space="preserve">c1) 顾客满意与相关方反馈</w:t>
            </w:r>
          </w:p>
        </w:tc>
        <w:tc>
          <w:p>
            <w:pPr>
              <w:pStyle w:val="Compact"/>
              <w:jc w:val="left"/>
            </w:pPr>
            <w:r>
              <w:t xml:space="preserve">满意度调查、投诉记录、顾客走访与评分</w:t>
            </w:r>
          </w:p>
        </w:tc>
        <w:tc>
          <w:p>
            <w:pPr>
              <w:pStyle w:val="Compact"/>
              <w:jc w:val="left"/>
            </w:pPr>
            <w:r>
              <w:t xml:space="preserve">销售部</w:t>
            </w:r>
          </w:p>
        </w:tc>
        <w:tc>
          <w:p>
            <w:pPr>
              <w:pStyle w:val="Compact"/>
              <w:jc w:val="left"/>
            </w:pPr>
            <w:r>
              <w:t xml:space="preserve">《顾客满意与反馈分析》</w:t>
            </w:r>
          </w:p>
        </w:tc>
        <w:tc>
          <w:p>
            <w:pPr>
              <w:pStyle w:val="Compact"/>
              <w:jc w:val="left"/>
            </w:pPr>
            <w:r>
              <w:t xml:space="preserve">T-25</w:t>
            </w:r>
          </w:p>
        </w:tc>
      </w:tr>
      <w:tr>
        <w:tc>
          <w:p>
            <w:pPr>
              <w:pStyle w:val="Compact"/>
              <w:jc w:val="left"/>
            </w:pPr>
            <w:r>
              <w:t xml:space="preserve">4</w:t>
            </w:r>
          </w:p>
        </w:tc>
        <w:tc>
          <w:p>
            <w:pPr>
              <w:pStyle w:val="Compact"/>
              <w:jc w:val="left"/>
            </w:pPr>
            <w:r>
              <w:t xml:space="preserve">c2) 质量目标实现程度</w:t>
            </w:r>
          </w:p>
        </w:tc>
        <w:tc>
          <w:p>
            <w:pPr>
              <w:pStyle w:val="Compact"/>
              <w:jc w:val="left"/>
            </w:pPr>
            <w:r>
              <w:t xml:space="preserve">目标分解表与月度达成统计</w:t>
            </w:r>
          </w:p>
        </w:tc>
        <w:tc>
          <w:p>
            <w:pPr>
              <w:pStyle w:val="Compact"/>
              <w:jc w:val="left"/>
            </w:pPr>
            <w:r>
              <w:t xml:space="preserve">质量部</w:t>
            </w:r>
          </w:p>
        </w:tc>
        <w:tc>
          <w:p>
            <w:pPr>
              <w:pStyle w:val="Compact"/>
              <w:jc w:val="left"/>
            </w:pPr>
            <w:r>
              <w:t xml:space="preserve">《质量目标达成分析》</w:t>
            </w:r>
          </w:p>
        </w:tc>
        <w:tc>
          <w:p>
            <w:pPr>
              <w:pStyle w:val="Compact"/>
              <w:jc w:val="left"/>
            </w:pPr>
            <w:r>
              <w:t xml:space="preserve">T-25</w:t>
            </w:r>
          </w:p>
        </w:tc>
      </w:tr>
      <w:tr>
        <w:tc>
          <w:p>
            <w:pPr>
              <w:pStyle w:val="Compact"/>
              <w:jc w:val="left"/>
            </w:pPr>
            <w:r>
              <w:t xml:space="preserve">5</w:t>
            </w:r>
          </w:p>
        </w:tc>
        <w:tc>
          <w:p>
            <w:pPr>
              <w:pStyle w:val="Compact"/>
              <w:jc w:val="left"/>
            </w:pPr>
            <w:r>
              <w:t xml:space="preserve">c3) 过程绩效与产品服务符合性</w:t>
            </w:r>
          </w:p>
        </w:tc>
        <w:tc>
          <w:p>
            <w:pPr>
              <w:pStyle w:val="Compact"/>
              <w:jc w:val="left"/>
            </w:pPr>
            <w:r>
              <w:t xml:space="preserve">各过程 KPI、检验数据、交付数据</w:t>
            </w:r>
          </w:p>
        </w:tc>
        <w:tc>
          <w:p>
            <w:pPr>
              <w:pStyle w:val="Compact"/>
              <w:jc w:val="left"/>
            </w:pPr>
            <w:r>
              <w:t xml:space="preserve">生产部＋质量部</w:t>
            </w:r>
          </w:p>
        </w:tc>
        <w:tc>
          <w:p>
            <w:pPr>
              <w:pStyle w:val="Compact"/>
              <w:jc w:val="left"/>
            </w:pPr>
            <w:r>
              <w:t xml:space="preserve">《过程绩效与符合性分析》</w:t>
            </w:r>
          </w:p>
        </w:tc>
        <w:tc>
          <w:p>
            <w:pPr>
              <w:pStyle w:val="Compact"/>
              <w:jc w:val="left"/>
            </w:pPr>
            <w:r>
              <w:t xml:space="preserve">T-25</w:t>
            </w:r>
          </w:p>
        </w:tc>
      </w:tr>
      <w:tr>
        <w:tc>
          <w:p>
            <w:pPr>
              <w:pStyle w:val="Compact"/>
              <w:jc w:val="left"/>
            </w:pPr>
            <w:r>
              <w:t xml:space="preserve">6</w:t>
            </w:r>
          </w:p>
        </w:tc>
        <w:tc>
          <w:p>
            <w:pPr>
              <w:pStyle w:val="Compact"/>
              <w:jc w:val="left"/>
            </w:pPr>
            <w:r>
              <w:t xml:space="preserve">c4) 不合格与纠正措施</w:t>
            </w:r>
          </w:p>
        </w:tc>
        <w:tc>
          <w:p>
            <w:pPr>
              <w:pStyle w:val="Compact"/>
              <w:jc w:val="left"/>
            </w:pPr>
            <w:r>
              <w:t xml:space="preserve">不合格品台账、纠正措施台账</w:t>
            </w:r>
          </w:p>
        </w:tc>
        <w:tc>
          <w:p>
            <w:pPr>
              <w:pStyle w:val="Compact"/>
              <w:jc w:val="left"/>
            </w:pPr>
            <w:r>
              <w:t xml:space="preserve">质量部</w:t>
            </w:r>
          </w:p>
        </w:tc>
        <w:tc>
          <w:p>
            <w:pPr>
              <w:pStyle w:val="Compact"/>
              <w:jc w:val="left"/>
            </w:pPr>
            <w:r>
              <w:t xml:space="preserve">《不合格与纠正措施分析》</w:t>
            </w:r>
          </w:p>
        </w:tc>
        <w:tc>
          <w:p>
            <w:pPr>
              <w:pStyle w:val="Compact"/>
              <w:jc w:val="left"/>
            </w:pPr>
            <w:r>
              <w:t xml:space="preserve">T-25</w:t>
            </w:r>
          </w:p>
        </w:tc>
      </w:tr>
      <w:tr>
        <w:tc>
          <w:p>
            <w:pPr>
              <w:pStyle w:val="Compact"/>
              <w:jc w:val="left"/>
            </w:pPr>
            <w:r>
              <w:t xml:space="preserve">7</w:t>
            </w:r>
          </w:p>
        </w:tc>
        <w:tc>
          <w:p>
            <w:pPr>
              <w:pStyle w:val="Compact"/>
              <w:jc w:val="left"/>
            </w:pPr>
            <w:r>
              <w:t xml:space="preserve">c5) 监视和测量结果</w:t>
            </w:r>
          </w:p>
        </w:tc>
        <w:tc>
          <w:p>
            <w:pPr>
              <w:pStyle w:val="Compact"/>
              <w:jc w:val="left"/>
            </w:pPr>
            <w:r>
              <w:t xml:space="preserve">检验记录、计量器具校准与期间核查记录</w:t>
            </w:r>
          </w:p>
        </w:tc>
        <w:tc>
          <w:p>
            <w:pPr>
              <w:pStyle w:val="Compact"/>
              <w:jc w:val="left"/>
            </w:pPr>
            <w:r>
              <w:t xml:space="preserve">质量部</w:t>
            </w:r>
          </w:p>
        </w:tc>
        <w:tc>
          <w:p>
            <w:pPr>
              <w:pStyle w:val="Compact"/>
              <w:jc w:val="left"/>
            </w:pPr>
            <w:r>
              <w:t xml:space="preserve">《监视和测量结果汇总》</w:t>
            </w:r>
          </w:p>
        </w:tc>
        <w:tc>
          <w:p>
            <w:pPr>
              <w:pStyle w:val="Compact"/>
              <w:jc w:val="left"/>
            </w:pPr>
            <w:r>
              <w:t xml:space="preserve">T-25</w:t>
            </w:r>
          </w:p>
        </w:tc>
      </w:tr>
      <w:tr>
        <w:tc>
          <w:p>
            <w:pPr>
              <w:pStyle w:val="Compact"/>
              <w:jc w:val="left"/>
            </w:pPr>
            <w:r>
              <w:t xml:space="preserve">8</w:t>
            </w:r>
          </w:p>
        </w:tc>
        <w:tc>
          <w:p>
            <w:pPr>
              <w:pStyle w:val="Compact"/>
              <w:jc w:val="left"/>
            </w:pPr>
            <w:r>
              <w:t xml:space="preserve">c6) 审核结果</w:t>
            </w:r>
          </w:p>
        </w:tc>
        <w:tc>
          <w:p>
            <w:pPr>
              <w:pStyle w:val="Compact"/>
              <w:jc w:val="left"/>
            </w:pPr>
            <w:r>
              <w:t xml:space="preserve">内审报告、外审报告与不符合项</w:t>
            </w:r>
          </w:p>
        </w:tc>
        <w:tc>
          <w:p>
            <w:pPr>
              <w:pStyle w:val="Compact"/>
              <w:jc w:val="left"/>
            </w:pPr>
            <w:r>
              <w:t xml:space="preserve">内审组长</w:t>
            </w:r>
          </w:p>
        </w:tc>
        <w:tc>
          <w:p>
            <w:pPr>
              <w:pStyle w:val="Compact"/>
              <w:jc w:val="left"/>
            </w:pPr>
            <w:r>
              <w:t xml:space="preserve">《审核结果分析》</w:t>
            </w:r>
          </w:p>
        </w:tc>
        <w:tc>
          <w:p>
            <w:pPr>
              <w:pStyle w:val="Compact"/>
              <w:jc w:val="left"/>
            </w:pPr>
            <w:r>
              <w:t xml:space="preserve">T-20</w:t>
            </w:r>
          </w:p>
        </w:tc>
      </w:tr>
      <w:tr>
        <w:tc>
          <w:p>
            <w:pPr>
              <w:pStyle w:val="Compact"/>
              <w:jc w:val="left"/>
            </w:pPr>
            <w:r>
              <w:t xml:space="preserve">9</w:t>
            </w:r>
          </w:p>
        </w:tc>
        <w:tc>
          <w:p>
            <w:pPr>
              <w:pStyle w:val="Compact"/>
              <w:jc w:val="left"/>
            </w:pPr>
            <w:r>
              <w:t xml:space="preserve">c7) 外部供方绩效</w:t>
            </w:r>
          </w:p>
        </w:tc>
        <w:tc>
          <w:p>
            <w:pPr>
              <w:pStyle w:val="Compact"/>
              <w:jc w:val="left"/>
            </w:pPr>
            <w:r>
              <w:t xml:space="preserve">供方评价表、来料合格率与交付及时率</w:t>
            </w:r>
          </w:p>
        </w:tc>
        <w:tc>
          <w:p>
            <w:pPr>
              <w:pStyle w:val="Compact"/>
              <w:jc w:val="left"/>
            </w:pPr>
            <w:r>
              <w:t xml:space="preserve">采购部</w:t>
            </w:r>
          </w:p>
        </w:tc>
        <w:tc>
          <w:p>
            <w:pPr>
              <w:pStyle w:val="Compact"/>
              <w:jc w:val="left"/>
            </w:pPr>
            <w:r>
              <w:t xml:space="preserve">《外部供方绩效分析》</w:t>
            </w:r>
          </w:p>
        </w:tc>
        <w:tc>
          <w:p>
            <w:pPr>
              <w:pStyle w:val="Compact"/>
              <w:jc w:val="left"/>
            </w:pPr>
            <w:r>
              <w:t xml:space="preserve">T-25</w:t>
            </w:r>
          </w:p>
        </w:tc>
      </w:tr>
      <w:tr>
        <w:tc>
          <w:p>
            <w:pPr>
              <w:pStyle w:val="Compact"/>
              <w:jc w:val="left"/>
            </w:pPr>
            <w:r>
              <w:t xml:space="preserve">10</w:t>
            </w:r>
          </w:p>
        </w:tc>
        <w:tc>
          <w:p>
            <w:pPr>
              <w:pStyle w:val="Compact"/>
              <w:jc w:val="left"/>
            </w:pPr>
            <w:r>
              <w:t xml:space="preserve">d) 资源充分性</w:t>
            </w:r>
          </w:p>
        </w:tc>
        <w:tc>
          <w:p>
            <w:pPr>
              <w:pStyle w:val="Compact"/>
              <w:jc w:val="left"/>
            </w:pPr>
            <w:r>
              <w:t xml:space="preserve">人力、设备、设施、财务投入现状与缺口</w:t>
            </w:r>
          </w:p>
        </w:tc>
        <w:tc>
          <w:p>
            <w:pPr>
              <w:pStyle w:val="Compact"/>
              <w:jc w:val="left"/>
            </w:pPr>
            <w:r>
              <w:t xml:space="preserve">各部门＋人力资源部</w:t>
            </w:r>
          </w:p>
        </w:tc>
        <w:tc>
          <w:p>
            <w:pPr>
              <w:pStyle w:val="Compact"/>
              <w:jc w:val="left"/>
            </w:pPr>
            <w:r>
              <w:t xml:space="preserve">各部门《资源需求说明》</w:t>
            </w:r>
          </w:p>
        </w:tc>
        <w:tc>
          <w:p>
            <w:pPr>
              <w:pStyle w:val="Compact"/>
              <w:jc w:val="left"/>
            </w:pPr>
            <w:r>
              <w:t xml:space="preserve">T-25</w:t>
            </w:r>
          </w:p>
        </w:tc>
      </w:tr>
      <w:tr>
        <w:tc>
          <w:p>
            <w:pPr>
              <w:pStyle w:val="Compact"/>
              <w:jc w:val="left"/>
            </w:pPr>
            <w:r>
              <w:t xml:space="preserve">11</w:t>
            </w:r>
          </w:p>
        </w:tc>
        <w:tc>
          <w:p>
            <w:pPr>
              <w:pStyle w:val="Compact"/>
              <w:jc w:val="left"/>
            </w:pPr>
            <w:r>
              <w:t xml:space="preserve">e) 风险和机遇所采取措施的有效性</w:t>
            </w:r>
          </w:p>
        </w:tc>
        <w:tc>
          <w:p>
            <w:pPr>
              <w:pStyle w:val="Compact"/>
              <w:jc w:val="left"/>
            </w:pPr>
            <w:r>
              <w:t xml:space="preserve">风险机遇台账与措施跟踪记录</w:t>
            </w:r>
          </w:p>
        </w:tc>
        <w:tc>
          <w:p>
            <w:pPr>
              <w:pStyle w:val="Compact"/>
              <w:jc w:val="left"/>
            </w:pPr>
            <w:r>
              <w:t xml:space="preserve">质量部</w:t>
            </w:r>
          </w:p>
        </w:tc>
        <w:tc>
          <w:p>
            <w:pPr>
              <w:pStyle w:val="Compact"/>
              <w:jc w:val="left"/>
            </w:pPr>
            <w:r>
              <w:t xml:space="preserve">《风险与机遇措施有效性分析》</w:t>
            </w:r>
          </w:p>
        </w:tc>
        <w:tc>
          <w:p>
            <w:pPr>
              <w:pStyle w:val="Compact"/>
              <w:jc w:val="left"/>
            </w:pPr>
            <w:r>
              <w:t xml:space="preserve">T-25</w:t>
            </w:r>
          </w:p>
        </w:tc>
      </w:tr>
      <w:tr>
        <w:tc>
          <w:p>
            <w:pPr>
              <w:pStyle w:val="Compact"/>
              <w:jc w:val="left"/>
            </w:pPr>
            <w:r>
              <w:t xml:space="preserve">12</w:t>
            </w:r>
          </w:p>
        </w:tc>
        <w:tc>
          <w:p>
            <w:pPr>
              <w:pStyle w:val="Compact"/>
              <w:jc w:val="left"/>
            </w:pPr>
            <w:r>
              <w:t xml:space="preserve">f) 改进的机会</w:t>
            </w:r>
          </w:p>
        </w:tc>
        <w:tc>
          <w:p>
            <w:pPr>
              <w:pStyle w:val="Compact"/>
              <w:jc w:val="left"/>
            </w:pPr>
            <w:r>
              <w:t xml:space="preserve">各部门改进建议、改善提案汇总</w:t>
            </w:r>
          </w:p>
        </w:tc>
        <w:tc>
          <w:p>
            <w:pPr>
              <w:pStyle w:val="Compact"/>
              <w:jc w:val="left"/>
            </w:pPr>
            <w:r>
              <w:t xml:space="preserve">各部门</w:t>
            </w:r>
          </w:p>
        </w:tc>
        <w:tc>
          <w:p>
            <w:pPr>
              <w:pStyle w:val="Compact"/>
              <w:jc w:val="left"/>
            </w:pPr>
            <w:r>
              <w:t xml:space="preserve">《改进机会汇总表》</w:t>
            </w:r>
          </w:p>
        </w:tc>
        <w:tc>
          <w:p>
            <w:pPr>
              <w:pStyle w:val="Compact"/>
              <w:jc w:val="left"/>
            </w:pPr>
            <w:r>
              <w:t xml:space="preserve">T-25</w:t>
            </w:r>
          </w:p>
        </w:tc>
      </w:tr>
    </w:tbl>
    <w:p>
      <w:pPr>
        <w:pStyle w:val="BodyText"/>
      </w:pPr>
      <w:r>
        <w:t xml:space="preserve">4.1.2 上表中</w:t>
      </w:r>
      <w:r>
        <w:t xml:space="preserve">“</w:t>
      </w:r>
      <w:r>
        <w:t xml:space="preserve">T</w:t>
      </w:r>
      <w:r>
        <w:t xml:space="preserve">”</w:t>
      </w:r>
      <w:r>
        <w:t xml:space="preserve">指管理评审会议召开日，T-25 表示会议日前 25 天。归口部门应在启动会上逐条讲解口径，避免各部门按各自理解填报。</w:t>
      </w:r>
    </w:p>
    <w:p>
      <w:pPr>
        <w:pStyle w:val="BodyText"/>
      </w:pPr>
      <w:r>
        <w:t xml:space="preserve">4.1.3 输入资料的数据统计周期统一为上一次管理评审结束日至本次会议日前一个月末，跨期不足整月的按实际天数折算并在说明中注明；不同部门不得自行选择统计区间。</w:t>
      </w:r>
    </w:p>
    <w:p>
      <w:pPr>
        <w:pStyle w:val="Heading3"/>
      </w:pPr>
      <w:bookmarkStart w:id="26" w:name="准备工作时间表与流程"/>
      <w:r>
        <w:t xml:space="preserve">4.2 准备工作时间表与流程</w:t>
      </w:r>
      <w:bookmarkEnd w:id="26"/>
    </w:p>
    <w:p>
      <w:pPr>
        <w:pStyle w:val="FirstParagraph"/>
      </w:pPr>
      <w:r>
        <w:t xml:space="preserve">4.2.1 输入准备总体按下列时间节点推进，质量部应将时间表以书面通知形式发至各部门负责人：</w:t>
      </w:r>
    </w:p>
    <w:p>
      <w:pPr>
        <w:pStyle w:val="SourceCode"/>
      </w:pPr>
      <w:r>
        <w:rPr>
          <w:rStyle w:val="VerbatimChar"/>
        </w:rPr>
        <w:t xml:space="preserve">T-35  确定评审日期、议题重点与参会名单（管理者代表＋质量部）</w:t>
      </w:r>
      <w:r>
        <w:br/>
      </w:r>
      <w:r>
        <w:rPr>
          <w:rStyle w:val="VerbatimChar"/>
        </w:rPr>
        <w:t xml:space="preserve">  |</w:t>
      </w:r>
      <w:r>
        <w:br/>
      </w:r>
      <w:r>
        <w:rPr>
          <w:rStyle w:val="VerbatimChar"/>
        </w:rPr>
        <w:t xml:space="preserve">T-30  下发《管理评审输入资料清单》与全套模板，召开输入准备启动会，宣贯数据口径</w:t>
      </w:r>
      <w:r>
        <w:br/>
      </w:r>
      <w:r>
        <w:rPr>
          <w:rStyle w:val="VerbatimChar"/>
        </w:rPr>
        <w:t xml:space="preserve">  |</w:t>
      </w:r>
      <w:r>
        <w:br/>
      </w:r>
      <w:r>
        <w:rPr>
          <w:rStyle w:val="VerbatimChar"/>
        </w:rPr>
        <w:t xml:space="preserve">T-28～T-26  各部门数据采集（跨部门数据由归口部门协调取数）</w:t>
      </w:r>
      <w:r>
        <w:br/>
      </w:r>
      <w:r>
        <w:rPr>
          <w:rStyle w:val="VerbatimChar"/>
        </w:rPr>
        <w:t xml:space="preserve">  |</w:t>
      </w:r>
      <w:r>
        <w:br/>
      </w:r>
      <w:r>
        <w:rPr>
          <w:rStyle w:val="VerbatimChar"/>
        </w:rPr>
        <w:t xml:space="preserve">T-25  各部门提交本部门输入包（电子版＋负责人签署）</w:t>
      </w:r>
      <w:r>
        <w:br/>
      </w:r>
      <w:r>
        <w:rPr>
          <w:rStyle w:val="VerbatimChar"/>
        </w:rPr>
        <w:t xml:space="preserve">  |</w:t>
      </w:r>
      <w:r>
        <w:br/>
      </w:r>
      <w:r>
        <w:rPr>
          <w:rStyle w:val="VerbatimChar"/>
        </w:rPr>
        <w:t xml:space="preserve">T-24～T-18  归口部门交叉核对：指标定义、统计区间、分母口径、与台账/财务数据一致性</w:t>
      </w:r>
      <w:r>
        <w:br/>
      </w:r>
      <w:r>
        <w:rPr>
          <w:rStyle w:val="VerbatimChar"/>
        </w:rPr>
        <w:t xml:space="preserve">  |          （发现疑问 2 个工作日内回退部门澄清，部门 2 个工作日内答复）</w:t>
      </w:r>
      <w:r>
        <w:br/>
      </w:r>
      <w:r>
        <w:rPr>
          <w:rStyle w:val="VerbatimChar"/>
        </w:rPr>
        <w:t xml:space="preserve">T-17～T-12  归口部门汇总合并，形成《管理评审输入报告》（含趋势图与结论）</w:t>
      </w:r>
      <w:r>
        <w:br/>
      </w:r>
      <w:r>
        <w:rPr>
          <w:rStyle w:val="VerbatimChar"/>
        </w:rPr>
        <w:t xml:space="preserve">  |</w:t>
      </w:r>
      <w:r>
        <w:br/>
      </w:r>
      <w:r>
        <w:rPr>
          <w:rStyle w:val="VerbatimChar"/>
        </w:rPr>
        <w:t xml:space="preserve">T-11～T-9   报告报管理者代表审核，按意见修订；数据口径争议由管代裁定</w:t>
      </w:r>
      <w:r>
        <w:br/>
      </w:r>
      <w:r>
        <w:rPr>
          <w:rStyle w:val="VerbatimChar"/>
        </w:rPr>
        <w:t xml:space="preserve">  |</w:t>
      </w:r>
      <w:r>
        <w:br/>
      </w:r>
      <w:r>
        <w:rPr>
          <w:rStyle w:val="VerbatimChar"/>
        </w:rPr>
        <w:t xml:space="preserve">T-8   报告定稿报总经理预审，同时按议题准备附件（不符合项清单、供方名录等）</w:t>
      </w:r>
      <w:r>
        <w:br/>
      </w:r>
      <w:r>
        <w:rPr>
          <w:rStyle w:val="VerbatimChar"/>
        </w:rPr>
        <w:t xml:space="preserve">  |</w:t>
      </w:r>
      <w:r>
        <w:br/>
      </w:r>
      <w:r>
        <w:rPr>
          <w:rStyle w:val="VerbatimChar"/>
        </w:rPr>
        <w:t xml:space="preserve">T-7   资料包印制并发放至全部参会人员（电子版同步发送），含阅读准备提示</w:t>
      </w:r>
      <w:r>
        <w:br/>
      </w:r>
      <w:r>
        <w:rPr>
          <w:rStyle w:val="VerbatimChar"/>
        </w:rPr>
        <w:t xml:space="preserve">  |</w:t>
      </w:r>
      <w:r>
        <w:br/>
      </w:r>
      <w:r>
        <w:rPr>
          <w:rStyle w:val="VerbatimChar"/>
        </w:rPr>
        <w:t xml:space="preserve">T-3   参会确认、场地与设备准备、会议记录人指定</w:t>
      </w:r>
      <w:r>
        <w:br/>
      </w:r>
      <w:r>
        <w:rPr>
          <w:rStyle w:val="VerbatimChar"/>
        </w:rPr>
        <w:t xml:space="preserve">  |</w:t>
      </w:r>
      <w:r>
        <w:br/>
      </w:r>
      <w:r>
        <w:rPr>
          <w:rStyle w:val="VerbatimChar"/>
        </w:rPr>
        <w:t xml:space="preserve">T     管理评审会议召开（会议组织与输出按 QP-26 执行）</w:t>
      </w:r>
      <w:r>
        <w:br/>
      </w:r>
      <w:r>
        <w:rPr>
          <w:rStyle w:val="VerbatimChar"/>
        </w:rPr>
        <w:t xml:space="preserve">  |</w:t>
      </w:r>
      <w:r>
        <w:br/>
      </w:r>
      <w:r>
        <w:rPr>
          <w:rStyle w:val="VerbatimChar"/>
        </w:rPr>
        <w:t xml:space="preserve">T+3   评审决定与整改事项分发至责任部门</w:t>
      </w:r>
      <w:r>
        <w:br/>
      </w:r>
      <w:r>
        <w:rPr>
          <w:rStyle w:val="VerbatimChar"/>
        </w:rPr>
        <w:t xml:space="preserve">  |</w:t>
      </w:r>
      <w:r>
        <w:br/>
      </w:r>
      <w:r>
        <w:rPr>
          <w:rStyle w:val="VerbatimChar"/>
        </w:rPr>
        <w:t xml:space="preserve">T+5   整改事项立项，纳入《措施跟踪表》</w:t>
      </w:r>
      <w:r>
        <w:br/>
      </w:r>
      <w:r>
        <w:rPr>
          <w:rStyle w:val="VerbatimChar"/>
        </w:rPr>
        <w:t xml:space="preserve">  |</w:t>
      </w:r>
      <w:r>
        <w:br/>
      </w:r>
      <w:r>
        <w:rPr>
          <w:rStyle w:val="VerbatimChar"/>
        </w:rPr>
        <w:t xml:space="preserve">T+10  输入资料、会议记录、决议清单归档</w:t>
      </w:r>
    </w:p>
    <w:p>
      <w:pPr>
        <w:pStyle w:val="FirstParagraph"/>
      </w:pPr>
      <w:r>
        <w:t xml:space="preserve">4.2.2 各部门如因特殊情况无法按期提交，应在截止日前 3 天向质量部书面申请延期，延期不得超过 5 天，且不得影响报告定稿与提前 7 天发放的要求。</w:t>
      </w:r>
    </w:p>
    <w:p>
      <w:pPr>
        <w:pStyle w:val="BodyText"/>
      </w:pPr>
      <w:r>
        <w:t xml:space="preserve">4.2.3 逾期未提交且未申请延期的，由质量部记录并在《管理评审输入报告》中如实说明该部门输入缺失情况，由管理者代表在会议上通报，此项本身即作为管理评审的一项观察内容。</w:t>
      </w:r>
    </w:p>
    <w:p>
      <w:pPr>
        <w:pStyle w:val="Heading3"/>
      </w:pPr>
      <w:bookmarkStart w:id="27" w:name="部门输入包的编制要求"/>
      <w:r>
        <w:t xml:space="preserve">4.3 部门输入包的编制要求</w:t>
      </w:r>
      <w:bookmarkEnd w:id="27"/>
    </w:p>
    <w:p>
      <w:pPr>
        <w:pStyle w:val="FirstParagraph"/>
      </w:pPr>
      <w:r>
        <w:t xml:space="preserve">4.3.1 部门输入包一律按统一结构编制，不得只交一张数据表或一段文字说明。标准结构如下：</w:t>
      </w:r>
    </w:p>
    <w:p>
      <w:pPr>
        <w:numPr>
          <w:ilvl w:val="0"/>
          <w:numId w:val="1002"/>
        </w:numPr>
        <w:pStyle w:val="Compact"/>
      </w:pPr>
      <w:r>
        <w:rPr>
          <w:b/>
        </w:rPr>
        <w:t xml:space="preserve">本期指标达成情况</w:t>
      </w:r>
      <w:r>
        <w:t xml:space="preserve">：指标名称、目标值、本期实际值、达成率、与上期对比、与去年同期对比；</w:t>
      </w:r>
    </w:p>
    <w:p>
      <w:pPr>
        <w:numPr>
          <w:ilvl w:val="0"/>
          <w:numId w:val="1002"/>
        </w:numPr>
        <w:pStyle w:val="Compact"/>
      </w:pPr>
      <w:r>
        <w:rPr>
          <w:b/>
        </w:rPr>
        <w:t xml:space="preserve">趋势与分布</w:t>
      </w:r>
      <w:r>
        <w:t xml:space="preserve">：至少配一张趋势图或柏拉图（按发生频次排序），标明主要问题项及其占比；</w:t>
      </w:r>
    </w:p>
    <w:p>
      <w:pPr>
        <w:numPr>
          <w:ilvl w:val="0"/>
          <w:numId w:val="1002"/>
        </w:numPr>
        <w:pStyle w:val="Compact"/>
      </w:pPr>
      <w:r>
        <w:rPr>
          <w:b/>
        </w:rPr>
        <w:t xml:space="preserve">原因分析</w:t>
      </w:r>
      <w:r>
        <w:t xml:space="preserve">：对未达标指标或异常波动给出原因分析，区分偶发因素与系统性因素；</w:t>
      </w:r>
    </w:p>
    <w:p>
      <w:pPr>
        <w:numPr>
          <w:ilvl w:val="0"/>
          <w:numId w:val="1002"/>
        </w:numPr>
        <w:pStyle w:val="Compact"/>
      </w:pPr>
      <w:r>
        <w:rPr>
          <w:b/>
        </w:rPr>
        <w:t xml:space="preserve">已采取的措施及其效果</w:t>
      </w:r>
      <w:r>
        <w:t xml:space="preserve">：措施内容、实施时间、验证方式、当前状态（有效／部分有效／无效）；</w:t>
      </w:r>
    </w:p>
    <w:p>
      <w:pPr>
        <w:numPr>
          <w:ilvl w:val="0"/>
          <w:numId w:val="1002"/>
        </w:numPr>
        <w:pStyle w:val="Compact"/>
      </w:pPr>
      <w:r>
        <w:rPr>
          <w:b/>
        </w:rPr>
        <w:t xml:space="preserve">资源需求</w:t>
      </w:r>
      <w:r>
        <w:t xml:space="preserve">：需要投入的人力、设备、设施、预算及其理由与不投入的后果；</w:t>
      </w:r>
    </w:p>
    <w:p>
      <w:pPr>
        <w:numPr>
          <w:ilvl w:val="0"/>
          <w:numId w:val="1002"/>
        </w:numPr>
        <w:pStyle w:val="Compact"/>
      </w:pPr>
      <w:r>
        <w:rPr>
          <w:b/>
        </w:rPr>
        <w:t xml:space="preserve">改进机会与建议</w:t>
      </w:r>
      <w:r>
        <w:t xml:space="preserve">：本部门提出的流程优化、标准修订、能力提升等建议；</w:t>
      </w:r>
    </w:p>
    <w:p>
      <w:pPr>
        <w:numPr>
          <w:ilvl w:val="0"/>
          <w:numId w:val="1002"/>
        </w:numPr>
        <w:pStyle w:val="Compact"/>
      </w:pPr>
      <w:r>
        <w:rPr>
          <w:b/>
        </w:rPr>
        <w:t xml:space="preserve">数据说明</w:t>
      </w:r>
      <w:r>
        <w:t xml:space="preserve">：统计区间、取数来源、口径特别说明、异常值处理方式。</w:t>
      </w:r>
    </w:p>
    <w:p>
      <w:pPr>
        <w:pStyle w:val="FirstParagraph"/>
      </w:pPr>
      <w:r>
        <w:t xml:space="preserve">4.3.2 各部门输入包须由部门负责人签字（纸质或电子签）后提交，签字意味着对该部门数据的真实性负责。</w:t>
      </w:r>
    </w:p>
    <w:p>
      <w:pPr>
        <w:pStyle w:val="BodyText"/>
      </w:pPr>
      <w:r>
        <w:t xml:space="preserve">4.3.3 涉及跨部门指标（如准时交付率同时涉及销售、生产、仓储）时，由归口部门指定</w:t>
      </w:r>
      <w:r>
        <w:t xml:space="preserve">“</w:t>
      </w:r>
      <w:r>
        <w:t xml:space="preserve">主责取数部门</w:t>
      </w:r>
      <w:r>
        <w:t xml:space="preserve">”</w:t>
      </w:r>
      <w:r>
        <w:t xml:space="preserve">，其他部门提供配合数据，避免同一指标出现多个版本。</w:t>
      </w:r>
    </w:p>
    <w:p>
      <w:pPr>
        <w:pStyle w:val="Heading3"/>
      </w:pPr>
      <w:bookmarkStart w:id="28" w:name="归口部门的汇总与核对"/>
      <w:r>
        <w:t xml:space="preserve">4.4 归口部门的汇总与核对</w:t>
      </w:r>
      <w:bookmarkEnd w:id="28"/>
    </w:p>
    <w:p>
      <w:pPr>
        <w:pStyle w:val="FirstParagraph"/>
      </w:pPr>
      <w:r>
        <w:t xml:space="preserve">4.4.1 质量部收到各部门输入包后，应逐项完成以下核对，核对记录留档：</w:t>
      </w:r>
    </w:p>
    <w:p>
      <w:pPr>
        <w:numPr>
          <w:ilvl w:val="0"/>
          <w:numId w:val="1003"/>
        </w:numPr>
        <w:pStyle w:val="Compact"/>
      </w:pPr>
      <w:r>
        <w:rPr>
          <w:b/>
        </w:rPr>
        <w:t xml:space="preserve">定义核对</w:t>
      </w:r>
      <w:r>
        <w:t xml:space="preserve">：指标定义是否与《质量目标分解表》和程序文件一致，是否存在部门自行改口径；</w:t>
      </w:r>
    </w:p>
    <w:p>
      <w:pPr>
        <w:numPr>
          <w:ilvl w:val="0"/>
          <w:numId w:val="1003"/>
        </w:numPr>
        <w:pStyle w:val="Compact"/>
      </w:pPr>
      <w:r>
        <w:rPr>
          <w:b/>
        </w:rPr>
        <w:t xml:space="preserve">区间核对</w:t>
      </w:r>
      <w:r>
        <w:t xml:space="preserve">：统计区间是否为统一规定的区间，是否存在</w:t>
      </w:r>
      <w:r>
        <w:t xml:space="preserve">“</w:t>
      </w:r>
      <w:r>
        <w:t xml:space="preserve">掐头去尾</w:t>
      </w:r>
      <w:r>
        <w:t xml:space="preserve">”</w:t>
      </w:r>
      <w:r>
        <w:t xml:space="preserve">挑好看数据的情况；</w:t>
      </w:r>
    </w:p>
    <w:p>
      <w:pPr>
        <w:numPr>
          <w:ilvl w:val="0"/>
          <w:numId w:val="1003"/>
        </w:numPr>
        <w:pStyle w:val="Compact"/>
      </w:pPr>
      <w:r>
        <w:rPr>
          <w:b/>
        </w:rPr>
        <w:t xml:space="preserve">分母核对</w:t>
      </w:r>
      <w:r>
        <w:t xml:space="preserve">：比率类指标的分子分母是否同源，是否存在分母口径不一致导致横向不可比；</w:t>
      </w:r>
    </w:p>
    <w:p>
      <w:pPr>
        <w:numPr>
          <w:ilvl w:val="0"/>
          <w:numId w:val="1003"/>
        </w:numPr>
        <w:pStyle w:val="Compact"/>
      </w:pPr>
      <w:r>
        <w:rPr>
          <w:b/>
        </w:rPr>
        <w:t xml:space="preserve">交叉核对</w:t>
      </w:r>
      <w:r>
        <w:t xml:space="preserve">：同一事实在不同部门输入中的数值是否一致，例如顾客投诉件数与质量部不合格台账、供方来料不良与生产领用异常；</w:t>
      </w:r>
    </w:p>
    <w:p>
      <w:pPr>
        <w:numPr>
          <w:ilvl w:val="0"/>
          <w:numId w:val="1003"/>
        </w:numPr>
        <w:pStyle w:val="Compact"/>
      </w:pPr>
      <w:r>
        <w:rPr>
          <w:b/>
        </w:rPr>
        <w:t xml:space="preserve">一致性核对</w:t>
      </w:r>
      <w:r>
        <w:t xml:space="preserve">：体系报告数据与采购、财务等经营数据是否能对上，无法对上时须给出解释；</w:t>
      </w:r>
    </w:p>
    <w:p>
      <w:pPr>
        <w:numPr>
          <w:ilvl w:val="0"/>
          <w:numId w:val="1003"/>
        </w:numPr>
        <w:pStyle w:val="Compact"/>
      </w:pPr>
      <w:r>
        <w:rPr>
          <w:b/>
        </w:rPr>
        <w:t xml:space="preserve">完整性核对</w:t>
      </w:r>
      <w:r>
        <w:t xml:space="preserve">：按 4.1.1 对照表逐条打勾，缺项、空项、仅写</w:t>
      </w:r>
      <w:r>
        <w:t xml:space="preserve">“</w:t>
      </w:r>
      <w:r>
        <w:t xml:space="preserve">正常</w:t>
      </w:r>
      <w:r>
        <w:t xml:space="preserve">”</w:t>
      </w:r>
      <w:r>
        <w:t xml:space="preserve">的项一律退回补充。</w:t>
      </w:r>
    </w:p>
    <w:p>
      <w:pPr>
        <w:pStyle w:val="FirstParagraph"/>
      </w:pPr>
      <w:r>
        <w:t xml:space="preserve">4.4.2 核对中发现的疑问以《数据澄清单》形式回退部门，部门应在 2 个工作日内书面答复；答复仍无法解释的，由质量部在报告中如实标注</w:t>
      </w:r>
      <w:r>
        <w:t xml:space="preserve">“</w:t>
      </w:r>
      <w:r>
        <w:t xml:space="preserve">数据存在分歧，待核实</w:t>
      </w:r>
      <w:r>
        <w:t xml:space="preserve">”</w:t>
      </w:r>
      <w:r>
        <w:t xml:space="preserve">，不得自行修改部门数据。</w:t>
      </w:r>
    </w:p>
    <w:p>
      <w:pPr>
        <w:pStyle w:val="BodyText"/>
      </w:pPr>
      <w:r>
        <w:t xml:space="preserve">4.4.3 汇总稿应完成三项加工：一是把同类数据合并为体系级指标体系（避免二十个部门各报一堆指标）；二是为每个关键指标补上趋势判断结论（上升／下降／持平／波动异常）；三是把输入按</w:t>
      </w:r>
      <w:r>
        <w:t xml:space="preserve">“</w:t>
      </w:r>
      <w:r>
        <w:t xml:space="preserve">绩效类—符合性类—风险类—资源类—改进类</w:t>
      </w:r>
      <w:r>
        <w:t xml:space="preserve">”</w:t>
      </w:r>
      <w:r>
        <w:t xml:space="preserve">重新归类，与会议议题顺序对应。</w:t>
      </w:r>
    </w:p>
    <w:p>
      <w:pPr>
        <w:pStyle w:val="Heading3"/>
      </w:pPr>
      <w:bookmarkStart w:id="29" w:name="输入完整性自查"/>
      <w:r>
        <w:t xml:space="preserve">4.5 输入完整性自查</w:t>
      </w:r>
      <w:bookmarkEnd w:id="29"/>
    </w:p>
    <w:p>
      <w:pPr>
        <w:pStyle w:val="FirstParagraph"/>
      </w:pPr>
      <w:r>
        <w:t xml:space="preserve">4.5.1 报告定稿前，质量部应按下列清单逐项自查，全部通过后方可报审：</w:t>
      </w:r>
    </w:p>
    <w:p>
      <w:pPr>
        <w:numPr>
          <w:ilvl w:val="0"/>
          <w:numId w:val="1004"/>
        </w:numPr>
        <w:pStyle w:val="Compact"/>
      </w:pPr>
      <w:r>
        <w:t xml:space="preserve">☐ 上次评审输出的每一项措施都有实施状态说明，未完成的说明原因与新的期限；</w:t>
      </w:r>
    </w:p>
    <w:p>
      <w:pPr>
        <w:numPr>
          <w:ilvl w:val="0"/>
          <w:numId w:val="1004"/>
        </w:numPr>
        <w:pStyle w:val="Compact"/>
      </w:pPr>
      <w:r>
        <w:t xml:space="preserve">☐ 质量目标的每一个子目标都有达成数据，未设定的注明理由；</w:t>
      </w:r>
    </w:p>
    <w:p>
      <w:pPr>
        <w:numPr>
          <w:ilvl w:val="0"/>
          <w:numId w:val="1004"/>
        </w:numPr>
        <w:pStyle w:val="Compact"/>
      </w:pPr>
      <w:r>
        <w:t xml:space="preserve">☐ 顾客满意数据包含调查方式、样本量、回收率、评分口径；</w:t>
      </w:r>
    </w:p>
    <w:p>
      <w:pPr>
        <w:numPr>
          <w:ilvl w:val="0"/>
          <w:numId w:val="1004"/>
        </w:numPr>
        <w:pStyle w:val="Compact"/>
      </w:pPr>
      <w:r>
        <w:t xml:space="preserve">☐ 顾客投诉包含件数、分类、处置及时率、重复投诉情况；</w:t>
      </w:r>
    </w:p>
    <w:p>
      <w:pPr>
        <w:numPr>
          <w:ilvl w:val="0"/>
          <w:numId w:val="1004"/>
        </w:numPr>
        <w:pStyle w:val="Compact"/>
      </w:pPr>
      <w:r>
        <w:t xml:space="preserve">☐ 不合格数据包含进货、过程、成品、交付后各环节，含不合格品处置方式分布；</w:t>
      </w:r>
    </w:p>
    <w:p>
      <w:pPr>
        <w:numPr>
          <w:ilvl w:val="0"/>
          <w:numId w:val="1004"/>
        </w:numPr>
        <w:pStyle w:val="Compact"/>
      </w:pPr>
      <w:r>
        <w:t xml:space="preserve">☐ 内审与外部审核发现全部列出，含不符合项等级、整改状态、验证结论；</w:t>
      </w:r>
    </w:p>
    <w:p>
      <w:pPr>
        <w:numPr>
          <w:ilvl w:val="0"/>
          <w:numId w:val="1004"/>
        </w:numPr>
        <w:pStyle w:val="Compact"/>
      </w:pPr>
      <w:r>
        <w:t xml:space="preserve">☐ 外部供方绩效包含评价得分、分级结果、淘汰与新增情况；</w:t>
      </w:r>
    </w:p>
    <w:p>
      <w:pPr>
        <w:numPr>
          <w:ilvl w:val="0"/>
          <w:numId w:val="1004"/>
        </w:numPr>
        <w:pStyle w:val="Compact"/>
      </w:pPr>
      <w:r>
        <w:t xml:space="preserve">☐ 资源充分性有结论性判断，不是简单罗列资源现状；</w:t>
      </w:r>
    </w:p>
    <w:p>
      <w:pPr>
        <w:numPr>
          <w:ilvl w:val="0"/>
          <w:numId w:val="1004"/>
        </w:numPr>
        <w:pStyle w:val="Compact"/>
      </w:pPr>
      <w:r>
        <w:t xml:space="preserve">☐ 风险与机遇台账逐条对应措施有效性结论，有新增风险与已关闭风险；</w:t>
      </w:r>
    </w:p>
    <w:p>
      <w:pPr>
        <w:numPr>
          <w:ilvl w:val="0"/>
          <w:numId w:val="1004"/>
        </w:numPr>
        <w:pStyle w:val="Compact"/>
      </w:pPr>
      <w:r>
        <w:t xml:space="preserve">☐ 改进机会有责任部门建议，避免全部由质量部代写；</w:t>
      </w:r>
    </w:p>
    <w:p>
      <w:pPr>
        <w:numPr>
          <w:ilvl w:val="0"/>
          <w:numId w:val="1004"/>
        </w:numPr>
        <w:pStyle w:val="Compact"/>
      </w:pPr>
      <w:r>
        <w:t xml:space="preserve">☐ 统计区间、取数来源、口径说明齐备；</w:t>
      </w:r>
    </w:p>
    <w:p>
      <w:pPr>
        <w:numPr>
          <w:ilvl w:val="0"/>
          <w:numId w:val="1004"/>
        </w:numPr>
        <w:pStyle w:val="Compact"/>
      </w:pPr>
      <w:r>
        <w:t xml:space="preserve">☐ 报告中出现的每个数字都能追溯到原始记录或台账。</w:t>
      </w:r>
    </w:p>
    <w:p>
      <w:pPr>
        <w:pStyle w:val="FirstParagraph"/>
      </w:pPr>
      <w:r>
        <w:t xml:space="preserve">4.5.2 自查发现的问题属输入项缺失的，退回部门补充；属汇总加工问题的，由质量部自行完善。</w:t>
      </w:r>
    </w:p>
    <w:p>
      <w:pPr>
        <w:pStyle w:val="Heading3"/>
      </w:pPr>
      <w:bookmarkStart w:id="30" w:name="会议资料包的编排与发放"/>
      <w:r>
        <w:t xml:space="preserve">4.6 会议资料包的编排与发放</w:t>
      </w:r>
      <w:bookmarkEnd w:id="30"/>
    </w:p>
    <w:p>
      <w:pPr>
        <w:pStyle w:val="FirstParagraph"/>
      </w:pPr>
      <w:r>
        <w:t xml:space="preserve">4.6.1 会议资料包按下列顺序装订或合成为一个文件，并在封面列出目录：</w:t>
      </w:r>
    </w:p>
    <w:p>
      <w:pPr>
        <w:numPr>
          <w:ilvl w:val="0"/>
          <w:numId w:val="1005"/>
        </w:numPr>
        <w:pStyle w:val="Compact"/>
      </w:pPr>
      <w:r>
        <w:t xml:space="preserve">会议议程与参会名单；</w:t>
      </w:r>
    </w:p>
    <w:p>
      <w:pPr>
        <w:numPr>
          <w:ilvl w:val="0"/>
          <w:numId w:val="1005"/>
        </w:numPr>
        <w:pStyle w:val="Compact"/>
      </w:pPr>
      <w:r>
        <w:t xml:space="preserve">《管理评审输入报告》（汇总稿，正文）；</w:t>
      </w:r>
    </w:p>
    <w:p>
      <w:pPr>
        <w:numPr>
          <w:ilvl w:val="0"/>
          <w:numId w:val="1005"/>
        </w:numPr>
        <w:pStyle w:val="Compact"/>
      </w:pPr>
      <w:r>
        <w:t xml:space="preserve">附件一：质量目标达成明细表；</w:t>
      </w:r>
    </w:p>
    <w:p>
      <w:pPr>
        <w:numPr>
          <w:ilvl w:val="0"/>
          <w:numId w:val="1005"/>
        </w:numPr>
        <w:pStyle w:val="Compact"/>
      </w:pPr>
      <w:r>
        <w:t xml:space="preserve">附件二：顾客满意与投诉分析；</w:t>
      </w:r>
    </w:p>
    <w:p>
      <w:pPr>
        <w:numPr>
          <w:ilvl w:val="0"/>
          <w:numId w:val="1005"/>
        </w:numPr>
        <w:pStyle w:val="Compact"/>
      </w:pPr>
      <w:r>
        <w:t xml:space="preserve">附件三：不合格与纠正措施台账摘录；</w:t>
      </w:r>
    </w:p>
    <w:p>
      <w:pPr>
        <w:numPr>
          <w:ilvl w:val="0"/>
          <w:numId w:val="1005"/>
        </w:numPr>
        <w:pStyle w:val="Compact"/>
      </w:pPr>
      <w:r>
        <w:t xml:space="preserve">附件四：内部审核与外部审核结果摘要、不符合项清单；</w:t>
      </w:r>
    </w:p>
    <w:p>
      <w:pPr>
        <w:numPr>
          <w:ilvl w:val="0"/>
          <w:numId w:val="1005"/>
        </w:numPr>
        <w:pStyle w:val="Compact"/>
      </w:pPr>
      <w:r>
        <w:t xml:space="preserve">附件五：外部供方绩效评价摘要；</w:t>
      </w:r>
    </w:p>
    <w:p>
      <w:pPr>
        <w:numPr>
          <w:ilvl w:val="0"/>
          <w:numId w:val="1005"/>
        </w:numPr>
        <w:pStyle w:val="Compact"/>
      </w:pPr>
      <w:r>
        <w:t xml:space="preserve">附件六：风险与机遇措施有效性台账；</w:t>
      </w:r>
    </w:p>
    <w:p>
      <w:pPr>
        <w:numPr>
          <w:ilvl w:val="0"/>
          <w:numId w:val="1005"/>
        </w:numPr>
        <w:pStyle w:val="Compact"/>
      </w:pPr>
      <w:r>
        <w:t xml:space="preserve">附件七：上次管理评审措施跟踪表；</w:t>
      </w:r>
    </w:p>
    <w:p>
      <w:pPr>
        <w:numPr>
          <w:ilvl w:val="0"/>
          <w:numId w:val="1005"/>
        </w:numPr>
        <w:pStyle w:val="Compact"/>
      </w:pPr>
      <w:r>
        <w:t xml:space="preserve">附件八：各部门资源需求与改进机会汇总；</w:t>
      </w:r>
    </w:p>
    <w:p>
      <w:pPr>
        <w:numPr>
          <w:ilvl w:val="0"/>
          <w:numId w:val="1005"/>
        </w:numPr>
        <w:pStyle w:val="Compact"/>
      </w:pPr>
      <w:r>
        <w:t xml:space="preserve">附：管理评审输出记录空白表（供会议现场填写结论与决议）。</w:t>
      </w:r>
    </w:p>
    <w:p>
      <w:pPr>
        <w:pStyle w:val="FirstParagraph"/>
      </w:pPr>
      <w:r>
        <w:t xml:space="preserve">4.6.2 资料包应在会议日前 7 天发放，一并附上</w:t>
      </w:r>
      <w:r>
        <w:t xml:space="preserve">“</w:t>
      </w:r>
      <w:r>
        <w:t xml:space="preserve">阅读准备提示</w:t>
      </w:r>
      <w:r>
        <w:t xml:space="preserve">”</w:t>
      </w:r>
      <w:r>
        <w:t xml:space="preserve">，明确要求参会人员就能否达成目标、资源是否充分、风险措施是否有效三个问题准备意见。</w:t>
      </w:r>
    </w:p>
    <w:p>
      <w:pPr>
        <w:pStyle w:val="BodyText"/>
      </w:pPr>
      <w:r>
        <w:t xml:space="preserve">4.6.3 涉及敏感财务数据或客户名称的信息，按公司保密要求处理后发放，但不得因保密而删除与体系有效性判断有关的结论性内容。</w:t>
      </w:r>
    </w:p>
    <w:p>
      <w:pPr>
        <w:pStyle w:val="Heading3"/>
      </w:pPr>
      <w:bookmarkStart w:id="31" w:name="输入准备中的数据处理原则"/>
      <w:r>
        <w:t xml:space="preserve">4.7 输入准备中的数据处理原则</w:t>
      </w:r>
      <w:bookmarkEnd w:id="31"/>
    </w:p>
    <w:p>
      <w:pPr>
        <w:pStyle w:val="FirstParagraph"/>
      </w:pPr>
      <w:r>
        <w:t xml:space="preserve">4.7.1</w:t>
      </w:r>
      <w:r>
        <w:t xml:space="preserve"> </w:t>
      </w:r>
      <w:r>
        <w:rPr>
          <w:b/>
        </w:rPr>
        <w:t xml:space="preserve">口径优先原则</w:t>
      </w:r>
      <w:r>
        <w:t xml:space="preserve">：口径不一致时先统一口径，再讨论结论。任何情况下不允许为迁就结论而调整口径。</w:t>
      </w:r>
    </w:p>
    <w:p>
      <w:pPr>
        <w:pStyle w:val="BodyText"/>
      </w:pPr>
      <w:r>
        <w:t xml:space="preserve">4.7.2</w:t>
      </w:r>
      <w:r>
        <w:t xml:space="preserve"> </w:t>
      </w:r>
      <w:r>
        <w:rPr>
          <w:b/>
        </w:rPr>
        <w:t xml:space="preserve">异常值处理原则</w:t>
      </w:r>
      <w:r>
        <w:t xml:space="preserve">：异常值不得直接剔除。应在数据说明中标注异常值、说明原因（如设备大修、原材料批次异常、客户临时追加订单），并同时给出剔除与不剔除两种口径下的结果，供会议判断。</w:t>
      </w:r>
    </w:p>
    <w:p>
      <w:pPr>
        <w:pStyle w:val="BodyText"/>
      </w:pPr>
      <w:r>
        <w:t xml:space="preserve">4.7.3</w:t>
      </w:r>
      <w:r>
        <w:t xml:space="preserve"> </w:t>
      </w:r>
      <w:r>
        <w:rPr>
          <w:b/>
        </w:rPr>
        <w:t xml:space="preserve">趋势优先原则</w:t>
      </w:r>
      <w:r>
        <w:t xml:space="preserve">：单期数值达标不等于过程受控，输入应至少给出三期以上的趋势；连续三个月恶化但仍在目标内的指标，必须单独提示。</w:t>
      </w:r>
    </w:p>
    <w:p>
      <w:pPr>
        <w:pStyle w:val="BodyText"/>
      </w:pPr>
      <w:r>
        <w:t xml:space="preserve">4.7.4</w:t>
      </w:r>
      <w:r>
        <w:t xml:space="preserve"> </w:t>
      </w:r>
      <w:r>
        <w:rPr>
          <w:b/>
        </w:rPr>
        <w:t xml:space="preserve">分母一致原则</w:t>
      </w:r>
      <w:r>
        <w:t xml:space="preserve">：比率类指标的分子分母必须来自同一统计总体，不得用不同总体的数据相除。</w:t>
      </w:r>
    </w:p>
    <w:p>
      <w:pPr>
        <w:pStyle w:val="Heading3"/>
      </w:pPr>
      <w:bookmarkStart w:id="32" w:name="与会议及输出的衔接"/>
      <w:r>
        <w:t xml:space="preserve">4.8 与会议及输出的衔接</w:t>
      </w:r>
      <w:bookmarkEnd w:id="32"/>
    </w:p>
    <w:p>
      <w:pPr>
        <w:pStyle w:val="FirstParagraph"/>
      </w:pPr>
      <w:r>
        <w:t xml:space="preserve">4.8.1 输入报告定稿后，质量部应推动落实三项衔接：一是将输入中的未达标项、重复发生项、资源缺口整理为</w:t>
      </w:r>
      <w:r>
        <w:t xml:space="preserve">“</w:t>
      </w:r>
      <w:r>
        <w:t xml:space="preserve">待决策事项清单</w:t>
      </w:r>
      <w:r>
        <w:t xml:space="preserve">”</w:t>
      </w:r>
      <w:r>
        <w:t xml:space="preserve">，随资料包一并提交；二是明确会议记录人与记录格式，采用</w:t>
      </w:r>
      <w:r>
        <w:t xml:space="preserve">“</w:t>
      </w:r>
      <w:r>
        <w:t xml:space="preserve">结论—责任人—期限—验证方式</w:t>
      </w:r>
      <w:r>
        <w:t xml:space="preserve">”</w:t>
      </w:r>
      <w:r>
        <w:t xml:space="preserve">四要素记录；三是准备输出记录表，会议现场逐项填写标准 9.3.3 要求的输出内容。</w:t>
      </w:r>
    </w:p>
    <w:p>
      <w:pPr>
        <w:pStyle w:val="BodyText"/>
      </w:pPr>
      <w:r>
        <w:t xml:space="preserve">4.8.2 会议结束后 T+3 日内完成决议分发，T+5 日内把每项决议转化为《措施跟踪表》条目并明确验证人，验证结果在下次管理评审输入中作为 a) 项提交，形成闭环。</w:t>
      </w:r>
    </w:p>
    <w:p>
      <w:pPr>
        <w:pStyle w:val="Heading3"/>
      </w:pPr>
      <w:bookmarkStart w:id="33" w:name="归档"/>
      <w:r>
        <w:t xml:space="preserve">4.9 归档</w:t>
      </w:r>
      <w:bookmarkEnd w:id="33"/>
    </w:p>
    <w:p>
      <w:pPr>
        <w:pStyle w:val="FirstParagraph"/>
      </w:pPr>
      <w:r>
        <w:t xml:space="preserve">4.9.1 归档内容包括：输入资料清单与模板、各部门输入包（含签字件）、数据澄清单、输入报告及历次修订稿、会议资料包、会议记录、决议清单、措施跟踪表。</w:t>
      </w:r>
    </w:p>
    <w:p>
      <w:pPr>
        <w:pStyle w:val="BodyText"/>
      </w:pPr>
      <w:r>
        <w:t xml:space="preserve">4.9.2 管理评审输入资料保存期限不少于 3 年；涉及产品安全、法规要求或顾客合同约定的，按合同或法规要求的更长期限执行。</w:t>
      </w:r>
    </w:p>
    <w:p>
      <w:pPr>
        <w:pStyle w:val="BodyText"/>
      </w:pPr>
      <w:r>
        <w:t xml:space="preserve">4.9.3 归档应做到</w:t>
      </w:r>
      <w:r>
        <w:t xml:space="preserve">“</w:t>
      </w:r>
      <w:r>
        <w:t xml:space="preserve">一评一卷</w:t>
      </w:r>
      <w:r>
        <w:t xml:space="preserve">”</w:t>
      </w:r>
      <w:r>
        <w:t xml:space="preserve">，每卷有目录与编号，能与内审卷、外审卷相互索引，便于认证审核时快速调取。</w:t>
      </w:r>
    </w:p>
    <w:p>
      <w:pPr>
        <w:pStyle w:val="Heading2"/>
      </w:pPr>
      <w:bookmarkStart w:id="34" w:name="五相关记录"/>
      <w:r>
        <w:t xml:space="preserve">五、相关记录</w:t>
      </w:r>
      <w:bookmarkEnd w:id="34"/>
    </w:p>
    <w:tbl>
      <w:tblPr>
        <w:tblStyle w:val="Table"/>
        <w:tblW w:type="pct" w:w="0.0"/>
        <w:tblLook w:firstRow="1"/>
      </w:tblPr>
      <w:tblGrid/>
      <w:tr>
        <w:trPr>
          <w:cnfStyle w:firstRow="1"/>
        </w:trPr>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编制部门</w:t>
            </w:r>
          </w:p>
        </w:tc>
        <w:tc>
          <w:tcPr>
            <w:tcBorders>
              <w:bottom w:val="single"/>
            </w:tcBorders>
            <w:vAlign w:val="bottom"/>
          </w:tcPr>
          <w:p>
            <w:pPr>
              <w:pStyle w:val="Compact"/>
              <w:jc w:val="left"/>
            </w:pPr>
            <w:r>
              <w:t xml:space="preserve">保存期限</w:t>
            </w:r>
          </w:p>
        </w:tc>
      </w:tr>
      <w:tr>
        <w:tc>
          <w:p>
            <w:pPr>
              <w:pStyle w:val="Compact"/>
              <w:jc w:val="left"/>
            </w:pPr>
            <w:r>
              <w:t xml:space="preserve">管理评审输入资料清单</w:t>
            </w:r>
          </w:p>
        </w:tc>
        <w:tc>
          <w:p>
            <w:pPr>
              <w:pStyle w:val="Compact"/>
              <w:jc w:val="left"/>
            </w:pPr>
            <w:r>
              <w:t xml:space="preserve">QR-43-01</w:t>
            </w:r>
          </w:p>
        </w:tc>
        <w:tc>
          <w:p>
            <w:pPr>
              <w:pStyle w:val="Compact"/>
              <w:jc w:val="left"/>
            </w:pPr>
            <w:r>
              <w:t xml:space="preserve">质量部</w:t>
            </w:r>
          </w:p>
        </w:tc>
        <w:tc>
          <w:p>
            <w:pPr>
              <w:pStyle w:val="Compact"/>
              <w:jc w:val="left"/>
            </w:pPr>
            <w:r>
              <w:t xml:space="preserve">3 年</w:t>
            </w:r>
          </w:p>
        </w:tc>
      </w:tr>
      <w:tr>
        <w:tc>
          <w:p>
            <w:pPr>
              <w:pStyle w:val="Compact"/>
              <w:jc w:val="left"/>
            </w:pPr>
            <w:r>
              <w:t xml:space="preserve">部门输入报告（分部门）</w:t>
            </w:r>
          </w:p>
        </w:tc>
        <w:tc>
          <w:p>
            <w:pPr>
              <w:pStyle w:val="Compact"/>
              <w:jc w:val="left"/>
            </w:pPr>
            <w:r>
              <w:t xml:space="preserve">QR-43-02</w:t>
            </w:r>
          </w:p>
        </w:tc>
        <w:tc>
          <w:p>
            <w:pPr>
              <w:pStyle w:val="Compact"/>
              <w:jc w:val="left"/>
            </w:pPr>
            <w:r>
              <w:t xml:space="preserve">各部门</w:t>
            </w:r>
          </w:p>
        </w:tc>
        <w:tc>
          <w:p>
            <w:pPr>
              <w:pStyle w:val="Compact"/>
              <w:jc w:val="left"/>
            </w:pPr>
            <w:r>
              <w:t xml:space="preserve">3 年</w:t>
            </w:r>
          </w:p>
        </w:tc>
      </w:tr>
      <w:tr>
        <w:tc>
          <w:p>
            <w:pPr>
              <w:pStyle w:val="Compact"/>
              <w:jc w:val="left"/>
            </w:pPr>
            <w:r>
              <w:t xml:space="preserve">数据澄清单</w:t>
            </w:r>
          </w:p>
        </w:tc>
        <w:tc>
          <w:p>
            <w:pPr>
              <w:pStyle w:val="Compact"/>
              <w:jc w:val="left"/>
            </w:pPr>
            <w:r>
              <w:t xml:space="preserve">QR-43-03</w:t>
            </w:r>
          </w:p>
        </w:tc>
        <w:tc>
          <w:p>
            <w:pPr>
              <w:pStyle w:val="Compact"/>
              <w:jc w:val="left"/>
            </w:pPr>
            <w:r>
              <w:t xml:space="preserve">质量部</w:t>
            </w:r>
          </w:p>
        </w:tc>
        <w:tc>
          <w:p>
            <w:pPr>
              <w:pStyle w:val="Compact"/>
              <w:jc w:val="left"/>
            </w:pPr>
            <w:r>
              <w:t xml:space="preserve">3 年</w:t>
            </w:r>
          </w:p>
        </w:tc>
      </w:tr>
      <w:tr>
        <w:tc>
          <w:p>
            <w:pPr>
              <w:pStyle w:val="Compact"/>
              <w:jc w:val="left"/>
            </w:pPr>
            <w:r>
              <w:t xml:space="preserve">数据交叉核对记录</w:t>
            </w:r>
          </w:p>
        </w:tc>
        <w:tc>
          <w:p>
            <w:pPr>
              <w:pStyle w:val="Compact"/>
              <w:jc w:val="left"/>
            </w:pPr>
            <w:r>
              <w:t xml:space="preserve">QR-43-04</w:t>
            </w:r>
          </w:p>
        </w:tc>
        <w:tc>
          <w:p>
            <w:pPr>
              <w:pStyle w:val="Compact"/>
              <w:jc w:val="left"/>
            </w:pPr>
            <w:r>
              <w:t xml:space="preserve">质量部</w:t>
            </w:r>
          </w:p>
        </w:tc>
        <w:tc>
          <w:p>
            <w:pPr>
              <w:pStyle w:val="Compact"/>
              <w:jc w:val="left"/>
            </w:pPr>
            <w:r>
              <w:t xml:space="preserve">3 年</w:t>
            </w:r>
          </w:p>
        </w:tc>
      </w:tr>
      <w:tr>
        <w:tc>
          <w:p>
            <w:pPr>
              <w:pStyle w:val="Compact"/>
              <w:jc w:val="left"/>
            </w:pPr>
            <w:r>
              <w:t xml:space="preserve">管理评审输入报告（汇总稿）</w:t>
            </w:r>
          </w:p>
        </w:tc>
        <w:tc>
          <w:p>
            <w:pPr>
              <w:pStyle w:val="Compact"/>
              <w:jc w:val="left"/>
            </w:pPr>
            <w:r>
              <w:t xml:space="preserve">QR-43-05</w:t>
            </w:r>
          </w:p>
        </w:tc>
        <w:tc>
          <w:p>
            <w:pPr>
              <w:pStyle w:val="Compact"/>
              <w:jc w:val="left"/>
            </w:pPr>
            <w:r>
              <w:t xml:space="preserve">质量部</w:t>
            </w:r>
          </w:p>
        </w:tc>
        <w:tc>
          <w:p>
            <w:pPr>
              <w:pStyle w:val="Compact"/>
              <w:jc w:val="left"/>
            </w:pPr>
            <w:r>
              <w:t xml:space="preserve">3 年</w:t>
            </w:r>
          </w:p>
        </w:tc>
      </w:tr>
      <w:tr>
        <w:tc>
          <w:p>
            <w:pPr>
              <w:pStyle w:val="Compact"/>
              <w:jc w:val="left"/>
            </w:pPr>
            <w:r>
              <w:t xml:space="preserve">会议资料包目录与发放记录</w:t>
            </w:r>
          </w:p>
        </w:tc>
        <w:tc>
          <w:p>
            <w:pPr>
              <w:pStyle w:val="Compact"/>
              <w:jc w:val="left"/>
            </w:pPr>
            <w:r>
              <w:t xml:space="preserve">QR-43-06</w:t>
            </w:r>
          </w:p>
        </w:tc>
        <w:tc>
          <w:p>
            <w:pPr>
              <w:pStyle w:val="Compact"/>
              <w:jc w:val="left"/>
            </w:pPr>
            <w:r>
              <w:t xml:space="preserve">质量部</w:t>
            </w:r>
          </w:p>
        </w:tc>
        <w:tc>
          <w:p>
            <w:pPr>
              <w:pStyle w:val="Compact"/>
              <w:jc w:val="left"/>
            </w:pPr>
            <w:r>
              <w:t xml:space="preserve">3 年</w:t>
            </w:r>
          </w:p>
        </w:tc>
      </w:tr>
      <w:tr>
        <w:tc>
          <w:p>
            <w:pPr>
              <w:pStyle w:val="Compact"/>
              <w:jc w:val="left"/>
            </w:pPr>
            <w:r>
              <w:t xml:space="preserve">上次评审措施跟踪表</w:t>
            </w:r>
          </w:p>
        </w:tc>
        <w:tc>
          <w:p>
            <w:pPr>
              <w:pStyle w:val="Compact"/>
              <w:jc w:val="left"/>
            </w:pPr>
            <w:r>
              <w:t xml:space="preserve">QR-43-07</w:t>
            </w:r>
          </w:p>
        </w:tc>
        <w:tc>
          <w:p>
            <w:pPr>
              <w:pStyle w:val="Compact"/>
              <w:jc w:val="left"/>
            </w:pPr>
            <w:r>
              <w:t xml:space="preserve">质量部</w:t>
            </w:r>
          </w:p>
        </w:tc>
        <w:tc>
          <w:p>
            <w:pPr>
              <w:pStyle w:val="Compact"/>
              <w:jc w:val="left"/>
            </w:pPr>
            <w:r>
              <w:t xml:space="preserve">3 年</w:t>
            </w:r>
          </w:p>
        </w:tc>
      </w:tr>
      <w:tr>
        <w:tc>
          <w:p>
            <w:pPr>
              <w:pStyle w:val="Compact"/>
              <w:jc w:val="left"/>
            </w:pPr>
            <w:r>
              <w:t xml:space="preserve">管理评审输出记录</w:t>
            </w:r>
          </w:p>
        </w:tc>
        <w:tc>
          <w:p>
            <w:pPr>
              <w:pStyle w:val="Compact"/>
              <w:jc w:val="left"/>
            </w:pPr>
            <w:r>
              <w:t xml:space="preserve">QR-43-08</w:t>
            </w:r>
          </w:p>
        </w:tc>
        <w:tc>
          <w:p>
            <w:pPr>
              <w:pStyle w:val="Compact"/>
              <w:jc w:val="left"/>
            </w:pPr>
            <w:r>
              <w:t xml:space="preserve">质量部</w:t>
            </w:r>
          </w:p>
        </w:tc>
        <w:tc>
          <w:p>
            <w:pPr>
              <w:pStyle w:val="Compact"/>
              <w:jc w:val="left"/>
            </w:pPr>
            <w:r>
              <w:t xml:space="preserve">长期</w:t>
            </w:r>
          </w:p>
        </w:tc>
      </w:tr>
    </w:tbl>
    <w:p>
      <w:pPr>
        <w:pStyle w:val="BodyText"/>
      </w:pPr>
      <w:r>
        <w:rPr>
          <w:b/>
        </w:rPr>
        <w:t xml:space="preserve">表单字段清单与填写示例</w:t>
      </w:r>
    </w:p>
    <w:p>
      <w:pPr>
        <w:pStyle w:val="BodyText"/>
      </w:pPr>
      <w:r>
        <w:rPr>
          <w:b/>
        </w:rPr>
        <w:t xml:space="preserve">（一）《管理评审输入资料清单》（QR-43-01）</w:t>
      </w:r>
    </w:p>
    <w:p>
      <w:pPr>
        <w:pStyle w:val="BodyText"/>
      </w:pPr>
      <w:r>
        <w:t xml:space="preserve">字段：序号｜标准条款｜输入项目名称｜数据来源｜提供部门｜数据责任人｜交付物名称｜提交截止日｜是否已提交｜提交日期｜负责人签署｜备注。</w:t>
      </w:r>
    </w:p>
    <w:p>
      <w:pPr>
        <w:pStyle w:val="BodyText"/>
      </w:pPr>
      <w:r>
        <w:t xml:space="preserve">填写说明：启动会当天随通知下发；</w:t>
      </w:r>
      <w:r>
        <w:t xml:space="preserve">“</w:t>
      </w:r>
      <w:r>
        <w:t xml:space="preserve">是否已提交</w:t>
      </w:r>
      <w:r>
        <w:t xml:space="preserve">”</w:t>
      </w:r>
      <w:r>
        <w:t xml:space="preserve">由质量部在收到输入包后打勾；同一输入由多部门提供时分行填写，注明各自负责的部分；提交截止日按 T-25 填写实际日期，不写相对天数。</w:t>
      </w:r>
    </w:p>
    <w:p>
      <w:pPr>
        <w:pStyle w:val="BodyText"/>
      </w:pPr>
      <w:r>
        <w:t xml:space="preserve">示例行：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标准条款</w:t>
            </w:r>
          </w:p>
        </w:tc>
        <w:tc>
          <w:tcPr>
            <w:tcBorders>
              <w:bottom w:val="single"/>
            </w:tcBorders>
            <w:vAlign w:val="bottom"/>
          </w:tcPr>
          <w:p>
            <w:pPr>
              <w:pStyle w:val="Compact"/>
              <w:jc w:val="left"/>
            </w:pPr>
            <w:r>
              <w:t xml:space="preserve">输入项目</w:t>
            </w:r>
          </w:p>
        </w:tc>
        <w:tc>
          <w:tcPr>
            <w:tcBorders>
              <w:bottom w:val="single"/>
            </w:tcBorders>
            <w:vAlign w:val="bottom"/>
          </w:tcPr>
          <w:p>
            <w:pPr>
              <w:pStyle w:val="Compact"/>
              <w:jc w:val="left"/>
            </w:pPr>
            <w:r>
              <w:t xml:space="preserve">提供部门</w:t>
            </w:r>
          </w:p>
        </w:tc>
        <w:tc>
          <w:tcPr>
            <w:tcBorders>
              <w:bottom w:val="single"/>
            </w:tcBorders>
            <w:vAlign w:val="bottom"/>
          </w:tcPr>
          <w:p>
            <w:pPr>
              <w:pStyle w:val="Compact"/>
              <w:jc w:val="left"/>
            </w:pPr>
            <w:r>
              <w:t xml:space="preserve">交付物</w:t>
            </w:r>
          </w:p>
        </w:tc>
        <w:tc>
          <w:tcPr>
            <w:tcBorders>
              <w:bottom w:val="single"/>
            </w:tcBorders>
            <w:vAlign w:val="bottom"/>
          </w:tcPr>
          <w:p>
            <w:pPr>
              <w:pStyle w:val="Compact"/>
              <w:jc w:val="left"/>
            </w:pPr>
            <w:r>
              <w:t xml:space="preserve">截止日</w:t>
            </w:r>
          </w:p>
        </w:tc>
        <w:tc>
          <w:tcPr>
            <w:tcBorders>
              <w:bottom w:val="single"/>
            </w:tcBorders>
            <w:vAlign w:val="bottom"/>
          </w:tcPr>
          <w:p>
            <w:pPr>
              <w:pStyle w:val="Compact"/>
              <w:jc w:val="left"/>
            </w:pPr>
            <w:r>
              <w:t xml:space="preserve">已提交</w:t>
            </w:r>
          </w:p>
        </w:tc>
      </w:tr>
      <w:tr>
        <w:tc>
          <w:p>
            <w:pPr>
              <w:pStyle w:val="Compact"/>
              <w:jc w:val="left"/>
            </w:pPr>
            <w:r>
              <w:t xml:space="preserve">3</w:t>
            </w:r>
          </w:p>
        </w:tc>
        <w:tc>
          <w:p>
            <w:pPr>
              <w:pStyle w:val="Compact"/>
              <w:jc w:val="left"/>
            </w:pPr>
            <w:r>
              <w:t xml:space="preserve">9.3.2 c)</w:t>
            </w:r>
          </w:p>
        </w:tc>
        <w:tc>
          <w:p>
            <w:pPr>
              <w:pStyle w:val="Compact"/>
              <w:jc w:val="left"/>
            </w:pPr>
            <w:r>
              <w:t xml:space="preserve">顾客满意与相关方反馈</w:t>
            </w:r>
          </w:p>
        </w:tc>
        <w:tc>
          <w:p>
            <w:pPr>
              <w:pStyle w:val="Compact"/>
              <w:jc w:val="left"/>
            </w:pPr>
            <w:r>
              <w:t xml:space="preserve">销售部</w:t>
            </w:r>
          </w:p>
        </w:tc>
        <w:tc>
          <w:p>
            <w:pPr>
              <w:pStyle w:val="Compact"/>
              <w:jc w:val="left"/>
            </w:pPr>
            <w:r>
              <w:t xml:space="preserve">《顾客满意与反馈分析》</w:t>
            </w:r>
          </w:p>
        </w:tc>
        <w:tc>
          <w:p>
            <w:pPr>
              <w:pStyle w:val="Compact"/>
              <w:jc w:val="left"/>
            </w:pPr>
            <w:r>
              <w:t xml:space="preserve">2026-10-08</w:t>
            </w:r>
          </w:p>
        </w:tc>
        <w:tc>
          <w:p>
            <w:pPr>
              <w:pStyle w:val="Compact"/>
              <w:jc w:val="left"/>
            </w:pPr>
            <w:r>
              <w:t xml:space="preserve">是</w:t>
            </w:r>
          </w:p>
        </w:tc>
      </w:tr>
      <w:tr>
        <w:tc>
          <w:p>
            <w:pPr>
              <w:pStyle w:val="Compact"/>
              <w:jc w:val="left"/>
            </w:pPr>
            <w:r>
              <w:t xml:space="preserve">9</w:t>
            </w:r>
          </w:p>
        </w:tc>
        <w:tc>
          <w:p>
            <w:pPr>
              <w:pStyle w:val="Compact"/>
              <w:jc w:val="left"/>
            </w:pPr>
            <w:r>
              <w:t xml:space="preserve">9.3.2 c)</w:t>
            </w:r>
          </w:p>
        </w:tc>
        <w:tc>
          <w:p>
            <w:pPr>
              <w:pStyle w:val="Compact"/>
              <w:jc w:val="left"/>
            </w:pPr>
            <w:r>
              <w:t xml:space="preserve">外部供方绩效</w:t>
            </w:r>
          </w:p>
        </w:tc>
        <w:tc>
          <w:p>
            <w:pPr>
              <w:pStyle w:val="Compact"/>
              <w:jc w:val="left"/>
            </w:pPr>
            <w:r>
              <w:t xml:space="preserve">采购部</w:t>
            </w:r>
          </w:p>
        </w:tc>
        <w:tc>
          <w:p>
            <w:pPr>
              <w:pStyle w:val="Compact"/>
              <w:jc w:val="left"/>
            </w:pPr>
            <w:r>
              <w:t xml:space="preserve">《外部供方绩效分析》</w:t>
            </w:r>
          </w:p>
        </w:tc>
        <w:tc>
          <w:p>
            <w:pPr>
              <w:pStyle w:val="Compact"/>
              <w:jc w:val="left"/>
            </w:pPr>
            <w:r>
              <w:t xml:space="preserve">2026-10-08</w:t>
            </w:r>
          </w:p>
        </w:tc>
        <w:tc>
          <w:p>
            <w:pPr>
              <w:pStyle w:val="Compact"/>
              <w:jc w:val="left"/>
            </w:pPr>
            <w:r>
              <w:t xml:space="preserve">是</w:t>
            </w:r>
          </w:p>
        </w:tc>
      </w:tr>
    </w:tbl>
    <w:p>
      <w:pPr>
        <w:pStyle w:val="BodyText"/>
      </w:pPr>
      <w:r>
        <w:rPr>
          <w:b/>
        </w:rPr>
        <w:t xml:space="preserve">（二）《部门输入报告》（QR-43-02）</w:t>
      </w:r>
    </w:p>
    <w:p>
      <w:pPr>
        <w:pStyle w:val="BodyText"/>
      </w:pPr>
      <w:r>
        <w:t xml:space="preserve">字段：部门｜报告期间｜编制人｜负责人签署｜本期指标达成情况（指标／目标值／实际值／达成率／上期值／去年同期值）｜趋势与分布（图表编号）｜原因分析｜已采取措施及效果｜资源需求（类别／数量或金额／理由）｜改进机会与建议｜数据说明。</w:t>
      </w:r>
    </w:p>
    <w:p>
      <w:pPr>
        <w:pStyle w:val="BodyText"/>
      </w:pPr>
      <w:r>
        <w:t xml:space="preserve">填写说明：一部门一份，附表不单独编号；达成率按统一公式</w:t>
      </w:r>
      <w:r>
        <w:t xml:space="preserve">“</w:t>
      </w:r>
      <w:r>
        <w:t xml:space="preserve">实际值÷目标值×100%</w:t>
      </w:r>
      <w:r>
        <w:t xml:space="preserve">”</w:t>
      </w:r>
      <w:r>
        <w:t xml:space="preserve">计算，望小特性指标（如不良率）以</w:t>
      </w:r>
      <w:r>
        <w:t xml:space="preserve">“</w:t>
      </w:r>
      <w:r>
        <w:t xml:space="preserve">目标值÷实际值×100%</w:t>
      </w:r>
      <w:r>
        <w:t xml:space="preserve">”</w:t>
      </w:r>
      <w:r>
        <w:t xml:space="preserve">折算，须在数据说明中注明所用公式；原因分析应区分偶发与系统性，禁止只写</w:t>
      </w:r>
      <w:r>
        <w:t xml:space="preserve">“</w:t>
      </w:r>
      <w:r>
        <w:t xml:space="preserve">人员意识不足</w:t>
      </w:r>
      <w:r>
        <w:t xml:space="preserve">”</w:t>
      </w:r>
      <w:r>
        <w:t xml:space="preserve">。</w:t>
      </w:r>
    </w:p>
    <w:p>
      <w:pPr>
        <w:pStyle w:val="BodyText"/>
      </w:pPr>
      <w:r>
        <w:t xml:space="preserve">示例行（指标达成情况表）：</w:t>
      </w:r>
    </w:p>
    <w:tbl>
      <w:tblPr>
        <w:tblStyle w:val="Table"/>
        <w:tblW w:type="pct" w:w="0.0"/>
        <w:tblLook w:firstRow="1"/>
      </w:tblPr>
      <w:tblGrid/>
      <w:tr>
        <w:trPr>
          <w:cnfStyle w:firstRow="1"/>
        </w:trPr>
        <w:tc>
          <w:tcPr>
            <w:tcBorders>
              <w:bottom w:val="single"/>
            </w:tcBorders>
            <w:vAlign w:val="bottom"/>
          </w:tcPr>
          <w:p>
            <w:pPr>
              <w:pStyle w:val="Compact"/>
              <w:jc w:val="left"/>
            </w:pPr>
            <w:r>
              <w:t xml:space="preserve">指标</w:t>
            </w:r>
          </w:p>
        </w:tc>
        <w:tc>
          <w:tcPr>
            <w:tcBorders>
              <w:bottom w:val="single"/>
            </w:tcBorders>
            <w:vAlign w:val="bottom"/>
          </w:tcPr>
          <w:p>
            <w:pPr>
              <w:pStyle w:val="Compact"/>
              <w:jc w:val="left"/>
            </w:pPr>
            <w:r>
              <w:t xml:space="preserve">目标值</w:t>
            </w:r>
          </w:p>
        </w:tc>
        <w:tc>
          <w:tcPr>
            <w:tcBorders>
              <w:bottom w:val="single"/>
            </w:tcBorders>
            <w:vAlign w:val="bottom"/>
          </w:tcPr>
          <w:p>
            <w:pPr>
              <w:pStyle w:val="Compact"/>
              <w:jc w:val="left"/>
            </w:pPr>
            <w:r>
              <w:t xml:space="preserve">实际值</w:t>
            </w:r>
          </w:p>
        </w:tc>
        <w:tc>
          <w:tcPr>
            <w:tcBorders>
              <w:bottom w:val="single"/>
            </w:tcBorders>
            <w:vAlign w:val="bottom"/>
          </w:tcPr>
          <w:p>
            <w:pPr>
              <w:pStyle w:val="Compact"/>
              <w:jc w:val="left"/>
            </w:pPr>
            <w:r>
              <w:t xml:space="preserve">达成率</w:t>
            </w:r>
          </w:p>
        </w:tc>
        <w:tc>
          <w:tcPr>
            <w:tcBorders>
              <w:bottom w:val="single"/>
            </w:tcBorders>
            <w:vAlign w:val="bottom"/>
          </w:tcPr>
          <w:p>
            <w:pPr>
              <w:pStyle w:val="Compact"/>
              <w:jc w:val="left"/>
            </w:pPr>
            <w:r>
              <w:t xml:space="preserve">上期值</w:t>
            </w:r>
          </w:p>
        </w:tc>
        <w:tc>
          <w:tcPr>
            <w:tcBorders>
              <w:bottom w:val="single"/>
            </w:tcBorders>
            <w:vAlign w:val="bottom"/>
          </w:tcPr>
          <w:p>
            <w:pPr>
              <w:pStyle w:val="Compact"/>
              <w:jc w:val="left"/>
            </w:pPr>
            <w:r>
              <w:t xml:space="preserve">去年同期</w:t>
            </w:r>
          </w:p>
        </w:tc>
      </w:tr>
      <w:tr>
        <w:tc>
          <w:p>
            <w:pPr>
              <w:pStyle w:val="Compact"/>
              <w:jc w:val="left"/>
            </w:pPr>
            <w:r>
              <w:t xml:space="preserve">来料批次合格率</w:t>
            </w:r>
          </w:p>
        </w:tc>
        <w:tc>
          <w:p>
            <w:pPr>
              <w:pStyle w:val="Compact"/>
              <w:jc w:val="left"/>
            </w:pPr>
            <w:r>
              <w:t xml:space="preserve">≥98.0%</w:t>
            </w:r>
          </w:p>
        </w:tc>
        <w:tc>
          <w:p>
            <w:pPr>
              <w:pStyle w:val="Compact"/>
              <w:jc w:val="left"/>
            </w:pPr>
            <w:r>
              <w:t xml:space="preserve">98.6%</w:t>
            </w:r>
          </w:p>
        </w:tc>
        <w:tc>
          <w:p>
            <w:pPr>
              <w:pStyle w:val="Compact"/>
              <w:jc w:val="left"/>
            </w:pPr>
            <w:r>
              <w:t xml:space="preserve">100.6%</w:t>
            </w:r>
          </w:p>
        </w:tc>
        <w:tc>
          <w:p>
            <w:pPr>
              <w:pStyle w:val="Compact"/>
              <w:jc w:val="left"/>
            </w:pPr>
            <w:r>
              <w:t xml:space="preserve">97.4%</w:t>
            </w:r>
          </w:p>
        </w:tc>
        <w:tc>
          <w:p>
            <w:pPr>
              <w:pStyle w:val="Compact"/>
              <w:jc w:val="left"/>
            </w:pPr>
            <w:r>
              <w:t xml:space="preserve">98.1%</w:t>
            </w:r>
          </w:p>
        </w:tc>
      </w:tr>
      <w:tr>
        <w:tc>
          <w:p>
            <w:pPr>
              <w:pStyle w:val="Compact"/>
              <w:jc w:val="left"/>
            </w:pPr>
            <w:r>
              <w:t xml:space="preserve">客户投诉件数（月均）</w:t>
            </w:r>
          </w:p>
        </w:tc>
        <w:tc>
          <w:p>
            <w:pPr>
              <w:pStyle w:val="Compact"/>
              <w:jc w:val="left"/>
            </w:pPr>
            <w:r>
              <w:t xml:space="preserve">≤4 件</w:t>
            </w:r>
          </w:p>
        </w:tc>
        <w:tc>
          <w:p>
            <w:pPr>
              <w:pStyle w:val="Compact"/>
              <w:jc w:val="left"/>
            </w:pPr>
            <w:r>
              <w:t xml:space="preserve">6 件</w:t>
            </w:r>
          </w:p>
        </w:tc>
        <w:tc>
          <w:p>
            <w:pPr>
              <w:pStyle w:val="Compact"/>
              <w:jc w:val="left"/>
            </w:pPr>
            <w:r>
              <w:t xml:space="preserve">66.7%</w:t>
            </w:r>
          </w:p>
        </w:tc>
        <w:tc>
          <w:p>
            <w:pPr>
              <w:pStyle w:val="Compact"/>
              <w:jc w:val="left"/>
            </w:pPr>
            <w:r>
              <w:t xml:space="preserve">3 件</w:t>
            </w:r>
          </w:p>
        </w:tc>
        <w:tc>
          <w:p>
            <w:pPr>
              <w:pStyle w:val="Compact"/>
              <w:jc w:val="left"/>
            </w:pPr>
            <w:r>
              <w:t xml:space="preserve">5 件</w:t>
            </w:r>
          </w:p>
        </w:tc>
      </w:tr>
    </w:tbl>
    <w:p>
      <w:pPr>
        <w:pStyle w:val="BodyText"/>
      </w:pPr>
      <w:r>
        <w:rPr>
          <w:b/>
        </w:rPr>
        <w:t xml:space="preserve">（三）《数据澄清单》（QR-43-03）</w:t>
      </w:r>
    </w:p>
    <w:p>
      <w:pPr>
        <w:pStyle w:val="BodyText"/>
      </w:pPr>
      <w:r>
        <w:t xml:space="preserve">字段：澄清单编号｜关联输入项目｜关联部门｜问题描述｜涉及数据与页码｜发出日期｜答复期限｜部门答复｜答复依据（记录或台账编号）｜归口部门确认｜管理者代表裁定（如有）。</w:t>
      </w:r>
    </w:p>
    <w:p>
      <w:pPr>
        <w:pStyle w:val="BodyText"/>
      </w:pPr>
      <w:r>
        <w:t xml:space="preserve">填写说明：一问题一单，问题描述须写明</w:t>
      </w:r>
      <w:r>
        <w:t xml:space="preserve">“</w:t>
      </w:r>
      <w:r>
        <w:t xml:space="preserve">应当是什么、实际是什么、差异多少</w:t>
      </w:r>
      <w:r>
        <w:t xml:space="preserve">”</w:t>
      </w:r>
      <w:r>
        <w:t xml:space="preserve">；部门答复须附取数依据，不得只写</w:t>
      </w:r>
      <w:r>
        <w:t xml:space="preserve">“</w:t>
      </w:r>
      <w:r>
        <w:t xml:space="preserve">计算无误</w:t>
      </w:r>
      <w:r>
        <w:t xml:space="preserve">”</w:t>
      </w:r>
      <w:r>
        <w:t xml:space="preserve">；未在规定期限内答复的，由质量部在报告中标注数据分歧。</w:t>
      </w:r>
    </w:p>
    <w:p>
      <w:pPr>
        <w:pStyle w:val="BodyText"/>
      </w:pPr>
      <w:r>
        <w:t xml:space="preserve">示例行：</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澄清单编号</w:t>
            </w:r>
          </w:p>
        </w:tc>
        <w:tc>
          <w:tcPr>
            <w:tcBorders>
              <w:bottom w:val="single"/>
            </w:tcBorders>
            <w:vAlign w:val="bottom"/>
          </w:tcPr>
          <w:p>
            <w:pPr>
              <w:pStyle w:val="Compact"/>
              <w:jc w:val="left"/>
            </w:pPr>
            <w:r>
              <w:t xml:space="preserve">关联输入项目</w:t>
            </w:r>
          </w:p>
        </w:tc>
        <w:tc>
          <w:tcPr>
            <w:tcBorders>
              <w:bottom w:val="single"/>
            </w:tcBorders>
            <w:vAlign w:val="bottom"/>
          </w:tcPr>
          <w:p>
            <w:pPr>
              <w:pStyle w:val="Compact"/>
              <w:jc w:val="left"/>
            </w:pPr>
            <w:r>
              <w:t xml:space="preserve">问题描述</w:t>
            </w:r>
          </w:p>
        </w:tc>
        <w:tc>
          <w:tcPr>
            <w:tcBorders>
              <w:bottom w:val="single"/>
            </w:tcBorders>
            <w:vAlign w:val="bottom"/>
          </w:tcPr>
          <w:p>
            <w:pPr>
              <w:pStyle w:val="Compact"/>
              <w:jc w:val="left"/>
            </w:pPr>
            <w:r>
              <w:t xml:space="preserve">发出日期</w:t>
            </w:r>
          </w:p>
        </w:tc>
        <w:tc>
          <w:tcPr>
            <w:tcBorders>
              <w:bottom w:val="single"/>
            </w:tcBorders>
            <w:vAlign w:val="bottom"/>
          </w:tcPr>
          <w:p>
            <w:pPr>
              <w:pStyle w:val="Compact"/>
              <w:jc w:val="left"/>
            </w:pPr>
            <w:r>
              <w:t xml:space="preserve">答复</w:t>
            </w:r>
          </w:p>
        </w:tc>
      </w:tr>
      <w:tr>
        <w:tc>
          <w:p>
            <w:pPr>
              <w:pStyle w:val="Compact"/>
              <w:jc w:val="left"/>
            </w:pPr>
            <w:r>
              <w:t xml:space="preserve">QR-43-03-05</w:t>
            </w:r>
          </w:p>
        </w:tc>
        <w:tc>
          <w:p>
            <w:pPr>
              <w:pStyle w:val="Compact"/>
              <w:jc w:val="left"/>
            </w:pPr>
            <w:r>
              <w:t xml:space="preserve">不合格与纠正措施</w:t>
            </w:r>
          </w:p>
        </w:tc>
        <w:tc>
          <w:p>
            <w:pPr>
              <w:pStyle w:val="Compact"/>
              <w:jc w:val="left"/>
            </w:pPr>
            <w:r>
              <w:t xml:space="preserve">质量部统计外观不良 128 件，生产部报表为 141 件，差异 13 件</w:t>
            </w:r>
          </w:p>
        </w:tc>
        <w:tc>
          <w:p>
            <w:pPr>
              <w:pStyle w:val="Compact"/>
              <w:jc w:val="left"/>
            </w:pPr>
            <w:r>
              <w:t xml:space="preserve">2026-10-12</w:t>
            </w:r>
          </w:p>
        </w:tc>
        <w:tc>
          <w:p>
            <w:pPr>
              <w:pStyle w:val="Compact"/>
              <w:jc w:val="left"/>
            </w:pPr>
            <w:r>
              <w:t xml:space="preserve">生产部含返修后二次判定件，质量部只计首次不合格，已按首次判定口径统一</w:t>
            </w:r>
          </w:p>
        </w:tc>
      </w:tr>
    </w:tbl>
    <w:p>
      <w:pPr>
        <w:pStyle w:val="BodyText"/>
      </w:pPr>
      <w:r>
        <w:rPr>
          <w:b/>
        </w:rPr>
        <w:t xml:space="preserve">（四）《数据交叉核对记录》（QR-43-04）</w:t>
      </w:r>
    </w:p>
    <w:p>
      <w:pPr>
        <w:pStyle w:val="BodyText"/>
      </w:pPr>
      <w:r>
        <w:t xml:space="preserve">字段：核对项目｜数据提供部门与数值｜对照来源与数值｜差异｜差异原因｜取值结论｜核对人｜核对日期。</w:t>
      </w:r>
    </w:p>
    <w:p>
      <w:pPr>
        <w:pStyle w:val="BodyText"/>
      </w:pPr>
      <w:r>
        <w:t xml:space="preserve">填写说明：至少覆盖顾客投诉、不合格、供方绩效、交付及时率、培训完成率五类可交叉验证的数据；核对结论只能填</w:t>
      </w:r>
      <w:r>
        <w:t xml:space="preserve">“</w:t>
      </w:r>
      <w:r>
        <w:t xml:space="preserve">一致</w:t>
      </w:r>
      <w:r>
        <w:t xml:space="preserve">”</w:t>
      </w:r>
      <w:r>
        <w:t xml:space="preserve">“</w:t>
      </w:r>
      <w:r>
        <w:t xml:space="preserve">以某部门为准（附依据）</w:t>
      </w:r>
      <w:r>
        <w:t xml:space="preserve">”</w:t>
      </w:r>
      <w:r>
        <w:t xml:space="preserve">“</w:t>
      </w:r>
      <w:r>
        <w:t xml:space="preserve">存在分歧待裁定</w:t>
      </w:r>
      <w:r>
        <w:t xml:space="preserve">”</w:t>
      </w:r>
      <w:r>
        <w:t xml:space="preserve">三种。</w:t>
      </w:r>
    </w:p>
    <w:p>
      <w:pPr>
        <w:pStyle w:val="BodyText"/>
      </w:pPr>
      <w:r>
        <w:t xml:space="preserve">示例行：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核对项目</w:t>
            </w:r>
          </w:p>
        </w:tc>
        <w:tc>
          <w:tcPr>
            <w:tcBorders>
              <w:bottom w:val="single"/>
            </w:tcBorders>
            <w:vAlign w:val="bottom"/>
          </w:tcPr>
          <w:p>
            <w:pPr>
              <w:pStyle w:val="Compact"/>
              <w:jc w:val="left"/>
            </w:pPr>
            <w:r>
              <w:t xml:space="preserve">提供值</w:t>
            </w:r>
          </w:p>
        </w:tc>
        <w:tc>
          <w:tcPr>
            <w:tcBorders>
              <w:bottom w:val="single"/>
            </w:tcBorders>
            <w:vAlign w:val="bottom"/>
          </w:tcPr>
          <w:p>
            <w:pPr>
              <w:pStyle w:val="Compact"/>
              <w:jc w:val="left"/>
            </w:pPr>
            <w:r>
              <w:t xml:space="preserve">对照来源与数值</w:t>
            </w:r>
          </w:p>
        </w:tc>
        <w:tc>
          <w:tcPr>
            <w:tcBorders>
              <w:bottom w:val="single"/>
            </w:tcBorders>
            <w:vAlign w:val="bottom"/>
          </w:tcPr>
          <w:p>
            <w:pPr>
              <w:pStyle w:val="Compact"/>
              <w:jc w:val="left"/>
            </w:pPr>
            <w:r>
              <w:t xml:space="preserve">差异</w:t>
            </w:r>
          </w:p>
        </w:tc>
        <w:tc>
          <w:tcPr>
            <w:tcBorders>
              <w:bottom w:val="single"/>
            </w:tcBorders>
            <w:vAlign w:val="bottom"/>
          </w:tcPr>
          <w:p>
            <w:pPr>
              <w:pStyle w:val="Compact"/>
              <w:jc w:val="left"/>
            </w:pPr>
            <w:r>
              <w:t xml:space="preserve">取值结论</w:t>
            </w:r>
          </w:p>
        </w:tc>
      </w:tr>
      <w:tr>
        <w:tc>
          <w:p>
            <w:pPr>
              <w:pStyle w:val="Compact"/>
              <w:jc w:val="left"/>
            </w:pPr>
            <w:r>
              <w:t xml:space="preserve">交付及时率</w:t>
            </w:r>
          </w:p>
        </w:tc>
        <w:tc>
          <w:p>
            <w:pPr>
              <w:pStyle w:val="Compact"/>
              <w:jc w:val="left"/>
            </w:pPr>
            <w:r>
              <w:t xml:space="preserve">生产部 96.2%</w:t>
            </w:r>
          </w:p>
        </w:tc>
        <w:tc>
          <w:p>
            <w:pPr>
              <w:pStyle w:val="Compact"/>
              <w:jc w:val="left"/>
            </w:pPr>
            <w:r>
              <w:t xml:space="preserve">销售部合同履约 94.8%</w:t>
            </w:r>
          </w:p>
        </w:tc>
        <w:tc>
          <w:p>
            <w:pPr>
              <w:pStyle w:val="Compact"/>
              <w:jc w:val="left"/>
            </w:pPr>
            <w:r>
              <w:t xml:space="preserve">1.4%</w:t>
            </w:r>
          </w:p>
        </w:tc>
        <w:tc>
          <w:p>
            <w:pPr>
              <w:pStyle w:val="Compact"/>
              <w:jc w:val="left"/>
            </w:pPr>
            <w:r>
              <w:t xml:space="preserve">差异源于销售部含客户变更交期订单，统一按合同实际交期口径取值 94.8%</w:t>
            </w:r>
          </w:p>
        </w:tc>
      </w:tr>
    </w:tbl>
    <w:p>
      <w:pPr>
        <w:pStyle w:val="BodyText"/>
      </w:pPr>
      <w:r>
        <w:rPr>
          <w:b/>
        </w:rPr>
        <w:t xml:space="preserve">（五）《会议资料包目录与发放记录》（QR-43-06）</w:t>
      </w:r>
    </w:p>
    <w:p>
      <w:pPr>
        <w:pStyle w:val="BodyText"/>
      </w:pPr>
      <w:r>
        <w:t xml:space="preserve">字段：资料包编号｜会议日期｜资料包页数｜附件清单｜发放日期｜发放方式（纸质／电子）｜接收人签字｜阅读准备提示是否随附。</w:t>
      </w:r>
    </w:p>
    <w:p>
      <w:pPr>
        <w:pStyle w:val="BodyText"/>
      </w:pPr>
      <w:r>
        <w:t xml:space="preserve">填写说明：发放日期须不晚于会议日前 7 天；电子同步发送的，保留发送记录作为凭证；未按时发放须注明原因。</w:t>
      </w:r>
    </w:p>
    <w:p>
      <w:pPr>
        <w:pStyle w:val="BodyText"/>
      </w:pPr>
      <w:r>
        <w:t xml:space="preserve">示例行：</w:t>
      </w:r>
    </w:p>
    <w:tbl>
      <w:tblPr>
        <w:tblStyle w:val="Table"/>
        <w:tblW w:type="pct" w:w="0.0"/>
        <w:tblLook w:firstRow="1"/>
      </w:tblPr>
      <w:tblGrid/>
      <w:tr>
        <w:trPr>
          <w:cnfStyle w:firstRow="1"/>
        </w:trPr>
        <w:tc>
          <w:tcPr>
            <w:tcBorders>
              <w:bottom w:val="single"/>
            </w:tcBorders>
            <w:vAlign w:val="bottom"/>
          </w:tcPr>
          <w:p>
            <w:pPr>
              <w:pStyle w:val="Compact"/>
              <w:jc w:val="left"/>
            </w:pPr>
            <w:r>
              <w:t xml:space="preserve">资料包编号</w:t>
            </w:r>
          </w:p>
        </w:tc>
        <w:tc>
          <w:tcPr>
            <w:tcBorders>
              <w:bottom w:val="single"/>
            </w:tcBorders>
            <w:vAlign w:val="bottom"/>
          </w:tcPr>
          <w:p>
            <w:pPr>
              <w:pStyle w:val="Compact"/>
              <w:jc w:val="left"/>
            </w:pPr>
            <w:r>
              <w:t xml:space="preserve">会议日期</w:t>
            </w:r>
          </w:p>
        </w:tc>
        <w:tc>
          <w:tcPr>
            <w:tcBorders>
              <w:bottom w:val="single"/>
            </w:tcBorders>
            <w:vAlign w:val="bottom"/>
          </w:tcPr>
          <w:p>
            <w:pPr>
              <w:pStyle w:val="Compact"/>
              <w:jc w:val="left"/>
            </w:pPr>
            <w:r>
              <w:t xml:space="preserve">发放日期</w:t>
            </w:r>
          </w:p>
        </w:tc>
        <w:tc>
          <w:tcPr>
            <w:tcBorders>
              <w:bottom w:val="single"/>
            </w:tcBorders>
            <w:vAlign w:val="bottom"/>
          </w:tcPr>
          <w:p>
            <w:pPr>
              <w:pStyle w:val="Compact"/>
              <w:jc w:val="left"/>
            </w:pPr>
            <w:r>
              <w:t xml:space="preserve">附件数</w:t>
            </w:r>
          </w:p>
        </w:tc>
        <w:tc>
          <w:tcPr>
            <w:tcBorders>
              <w:bottom w:val="single"/>
            </w:tcBorders>
            <w:vAlign w:val="bottom"/>
          </w:tcPr>
          <w:p>
            <w:pPr>
              <w:pStyle w:val="Compact"/>
              <w:jc w:val="left"/>
            </w:pPr>
            <w:r>
              <w:t xml:space="preserve">接收人签字</w:t>
            </w:r>
          </w:p>
        </w:tc>
      </w:tr>
      <w:tr>
        <w:tc>
          <w:p>
            <w:pPr>
              <w:pStyle w:val="Compact"/>
              <w:jc w:val="left"/>
            </w:pPr>
            <w:r>
              <w:t xml:space="preserve">MR-PKG-2026-01</w:t>
            </w:r>
          </w:p>
        </w:tc>
        <w:tc>
          <w:p>
            <w:pPr>
              <w:pStyle w:val="Compact"/>
              <w:jc w:val="left"/>
            </w:pPr>
            <w:r>
              <w:t xml:space="preserve">2026-11-03</w:t>
            </w:r>
          </w:p>
        </w:tc>
        <w:tc>
          <w:p>
            <w:pPr>
              <w:pStyle w:val="Compact"/>
              <w:jc w:val="left"/>
            </w:pPr>
            <w:r>
              <w:t xml:space="preserve">2026-10-27</w:t>
            </w:r>
          </w:p>
        </w:tc>
        <w:tc>
          <w:p>
            <w:pPr>
              <w:pStyle w:val="Compact"/>
              <w:jc w:val="left"/>
            </w:pPr>
            <w:r>
              <w:t xml:space="preserve">8</w:t>
            </w:r>
          </w:p>
        </w:tc>
        <w:tc>
          <w:p>
            <w:pPr>
              <w:pStyle w:val="Compact"/>
              <w:jc w:val="left"/>
            </w:pPr>
            <w:r>
              <w:t xml:space="preserve">见签收页</w:t>
            </w:r>
          </w:p>
        </w:tc>
      </w:tr>
    </w:tbl>
    <w:p>
      <w:pPr>
        <w:pStyle w:val="Heading2"/>
      </w:pPr>
      <w:bookmarkStart w:id="35" w:name="六相关文件"/>
      <w:r>
        <w:t xml:space="preserve">六、相关文件</w:t>
      </w:r>
      <w:bookmarkEnd w:id="35"/>
    </w:p>
    <w:p>
      <w:pPr>
        <w:numPr>
          <w:ilvl w:val="0"/>
          <w:numId w:val="1006"/>
        </w:numPr>
        <w:pStyle w:val="Compact"/>
      </w:pPr>
      <w:r>
        <w:t xml:space="preserve">《管理评审程序》（QP-26）</w:t>
      </w:r>
    </w:p>
    <w:p>
      <w:pPr>
        <w:numPr>
          <w:ilvl w:val="0"/>
          <w:numId w:val="1006"/>
        </w:numPr>
        <w:pStyle w:val="Compact"/>
      </w:pPr>
      <w:r>
        <w:t xml:space="preserve">《内部审核程序》（QP-25）</w:t>
      </w:r>
    </w:p>
    <w:p>
      <w:pPr>
        <w:numPr>
          <w:ilvl w:val="0"/>
          <w:numId w:val="1006"/>
        </w:numPr>
        <w:pStyle w:val="Compact"/>
      </w:pPr>
      <w:r>
        <w:t xml:space="preserve">《内审实施作业指导书》（WI-QA-42）</w:t>
      </w:r>
    </w:p>
    <w:p>
      <w:pPr>
        <w:numPr>
          <w:ilvl w:val="0"/>
          <w:numId w:val="1006"/>
        </w:numPr>
        <w:pStyle w:val="Compact"/>
      </w:pPr>
      <w:r>
        <w:t xml:space="preserve">《数据分析与评价程序》（QP-24）</w:t>
      </w:r>
    </w:p>
    <w:p>
      <w:pPr>
        <w:numPr>
          <w:ilvl w:val="0"/>
          <w:numId w:val="1006"/>
        </w:numPr>
        <w:pStyle w:val="Compact"/>
      </w:pPr>
      <w:r>
        <w:t xml:space="preserve">《数据分析与统计工具应用指导书》（WI-QA-44）</w:t>
      </w:r>
    </w:p>
    <w:p>
      <w:pPr>
        <w:numPr>
          <w:ilvl w:val="0"/>
          <w:numId w:val="1006"/>
        </w:numPr>
        <w:pStyle w:val="Compact"/>
      </w:pPr>
      <w:r>
        <w:t xml:space="preserve">《不合格与纠正措施程序》（QP-27）</w:t>
      </w:r>
    </w:p>
    <w:p>
      <w:pPr>
        <w:numPr>
          <w:ilvl w:val="0"/>
          <w:numId w:val="1006"/>
        </w:numPr>
        <w:pStyle w:val="Compact"/>
      </w:pPr>
      <w:r>
        <w:t xml:space="preserve">《纠正措施实施与验证作业指导书》（WI-QA-45）</w:t>
      </w:r>
    </w:p>
    <w:p>
      <w:pPr>
        <w:numPr>
          <w:ilvl w:val="0"/>
          <w:numId w:val="1006"/>
        </w:numPr>
        <w:pStyle w:val="Compact"/>
      </w:pPr>
      <w:r>
        <w:t xml:space="preserve">《质量方针与质量目标管理程序》（QP-07）</w:t>
      </w:r>
    </w:p>
    <w:p>
      <w:pPr>
        <w:numPr>
          <w:ilvl w:val="0"/>
          <w:numId w:val="1006"/>
        </w:numPr>
        <w:pStyle w:val="Compact"/>
      </w:pPr>
      <w:r>
        <w:t xml:space="preserve">《风险与机遇管理程序》（QP-06）</w:t>
      </w:r>
    </w:p>
    <w:p>
      <w:pPr>
        <w:numPr>
          <w:ilvl w:val="0"/>
          <w:numId w:val="1006"/>
        </w:numPr>
        <w:pStyle w:val="Compact"/>
      </w:pPr>
      <w:r>
        <w:t xml:space="preserve">《组织环境与相关方管理程序》（QP-05）</w:t>
      </w:r>
    </w:p>
    <w:p>
      <w:pPr>
        <w:numPr>
          <w:ilvl w:val="0"/>
          <w:numId w:val="1006"/>
        </w:numPr>
        <w:pStyle w:val="Compact"/>
      </w:pPr>
      <w:r>
        <w:t xml:space="preserve">《记录控制程序》（QP-04）</w:t>
      </w:r>
    </w:p>
    <w:p>
      <w:pPr>
        <w:numPr>
          <w:ilvl w:val="0"/>
          <w:numId w:val="1006"/>
        </w:numPr>
        <w:pStyle w:val="Compact"/>
      </w:pPr>
      <w:r>
        <w:t xml:space="preserve">《记录填写与归档作业指导书》（WI-QA-39）</w:t>
      </w:r>
    </w:p>
    <w:p>
      <w:pPr>
        <w:numPr>
          <w:ilvl w:val="0"/>
          <w:numId w:val="1006"/>
        </w:numPr>
        <w:pStyle w:val="Compact"/>
      </w:pPr>
      <w:r>
        <w:t xml:space="preserve">《采购与外部提供控制程序》（QP-16）</w:t>
      </w:r>
    </w:p>
    <w:p>
      <w:pPr>
        <w:numPr>
          <w:ilvl w:val="0"/>
          <w:numId w:val="1006"/>
        </w:numPr>
        <w:pStyle w:val="Compact"/>
      </w:pPr>
      <w:r>
        <w:t xml:space="preserve">《供方准入与绩效评价作业指导书》（WI-QA-40）</w:t>
      </w:r>
    </w:p>
    <w:p>
      <w:pPr>
        <w:numPr>
          <w:ilvl w:val="0"/>
          <w:numId w:val="1006"/>
        </w:numPr>
        <w:pStyle w:val="Compact"/>
      </w:pPr>
      <w:r>
        <w:t xml:space="preserve">《顾客满意监视测量程序》（QP-23）</w:t>
      </w:r>
    </w:p>
    <w:p>
      <w:pPr>
        <w:numPr>
          <w:ilvl w:val="0"/>
          <w:numId w:val="1006"/>
        </w:numPr>
        <w:pStyle w:val="Compact"/>
      </w:pPr>
      <w:r>
        <w:t xml:space="preserve">《知识管理程序》（QP-11）</w:t>
      </w:r>
    </w:p>
    <w:p>
      <w:r>
        <w:pict>
          <v:rect style="width:0;height:1.5pt" o:hralign="center" o:hrstd="t" o:hr="t"/>
        </w:pict>
      </w:r>
    </w:p>
    <w:p>
      <w:pPr>
        <w:pStyle w:val="Heading2"/>
      </w:pPr>
      <w:bookmarkStart w:id="36" w:name="使用说明"/>
      <w:r>
        <w:t xml:space="preserve">使用说明</w:t>
      </w:r>
      <w:bookmarkEnd w:id="36"/>
    </w:p>
    <w:p>
      <w:pPr>
        <w:pStyle w:val="FirstParagraph"/>
      </w:pPr>
      <w:r>
        <w:rPr>
          <w:b/>
        </w:rPr>
        <w:t xml:space="preserve">一、按企业实际修改</w:t>
      </w:r>
    </w:p>
    <w:p>
      <w:pPr>
        <w:numPr>
          <w:ilvl w:val="0"/>
          <w:numId w:val="1007"/>
        </w:numPr>
        <w:pStyle w:val="Compact"/>
      </w:pPr>
      <w:r>
        <w:rPr>
          <w:b/>
        </w:rPr>
        <w:t xml:space="preserve">时间表按公司规模伸缩</w:t>
      </w:r>
      <w:r>
        <w:t xml:space="preserve">。本文件按 T-35 至 T+10 编排，适合 200 人以上、部门齐备的企业。50 人以下的小微企业可压缩为：T-15 下发清单与模板，T-10 部门提交，T-7 汇总定稿，T-3 发放资料包；但</w:t>
      </w:r>
      <w:r>
        <w:t xml:space="preserve">“</w:t>
      </w:r>
      <w:r>
        <w:t xml:space="preserve">报告定稿</w:t>
      </w:r>
      <w:r>
        <w:t xml:space="preserve">”</w:t>
      </w:r>
      <w:r>
        <w:t xml:space="preserve">与</w:t>
      </w:r>
      <w:r>
        <w:t xml:space="preserve">“</w:t>
      </w:r>
      <w:r>
        <w:t xml:space="preserve">提前 7 天发放</w:t>
      </w:r>
      <w:r>
        <w:t xml:space="preserve">”</w:t>
      </w:r>
      <w:r>
        <w:t xml:space="preserve">两条底线不能压缩，否则会议必然变成听汇报。</w:t>
      </w:r>
    </w:p>
    <w:p>
      <w:pPr>
        <w:numPr>
          <w:ilvl w:val="0"/>
          <w:numId w:val="1007"/>
        </w:numPr>
        <w:pStyle w:val="Compact"/>
      </w:pPr>
      <w:r>
        <w:rPr>
          <w:b/>
        </w:rPr>
        <w:t xml:space="preserve">部门清单按组织架构裁剪</w:t>
      </w:r>
      <w:r>
        <w:t xml:space="preserve">。本文件列出了十个常见部门。若企业未设独立的人力资源部或设备部，相应职责并入综合管理部或生产部；若企业有多个产品线，应为每条产品线增设输入包，由产品线负责人提交，避免用公司整体数据掩盖单条产品线的问题。</w:t>
      </w:r>
    </w:p>
    <w:p>
      <w:pPr>
        <w:numPr>
          <w:ilvl w:val="0"/>
          <w:numId w:val="1007"/>
        </w:numPr>
        <w:pStyle w:val="Compact"/>
      </w:pPr>
      <w:r>
        <w:rPr>
          <w:b/>
        </w:rPr>
        <w:t xml:space="preserve">指标集按产品类型适配</w:t>
      </w:r>
      <w:r>
        <w:t xml:space="preserve">。制造企业输入重心在过程能力、工序不良、设备停机、来料合格率；贸易企业应把重心移到供方交付可靠性、验收合格率、客户退货率；服务企业则应强化服务交付时限、服务差错率、顾客满意度与投诉闭环率，并增加人员能力与排班保障的输入。</w:t>
      </w:r>
    </w:p>
    <w:p>
      <w:pPr>
        <w:numPr>
          <w:ilvl w:val="0"/>
          <w:numId w:val="1007"/>
        </w:numPr>
        <w:pStyle w:val="Compact"/>
      </w:pPr>
      <w:r>
        <w:rPr>
          <w:b/>
        </w:rPr>
        <w:t xml:space="preserve">与多体系评审合并</w:t>
      </w:r>
      <w:r>
        <w:t xml:space="preserve">。同时运行质量、环境、职业健康安全体系的企业，可在 4.1.1 对照表后增设</w:t>
      </w:r>
      <w:r>
        <w:t xml:space="preserve">“</w:t>
      </w:r>
      <w:r>
        <w:t xml:space="preserve">体系—输入项—提供部门</w:t>
      </w:r>
      <w:r>
        <w:t xml:space="preserve">”</w:t>
      </w:r>
      <w:r>
        <w:t xml:space="preserve">矩阵，一次采集覆盖三个体系；环境与安全类输入（如污染物排放、事故与隐患整改）按对应体系标准另行增列，不与质量输入混填。</w:t>
      </w:r>
    </w:p>
    <w:p>
      <w:pPr>
        <w:numPr>
          <w:ilvl w:val="0"/>
          <w:numId w:val="1007"/>
        </w:numPr>
        <w:pStyle w:val="Compact"/>
      </w:pPr>
      <w:r>
        <w:rPr>
          <w:b/>
        </w:rPr>
        <w:t xml:space="preserve">模板号与公司现有编号体系对齐</w:t>
      </w:r>
      <w:r>
        <w:t xml:space="preserve">。本文件表单编号采用 QR-43-×× 格式，若公司采用其他编号规则（如 QR-QA-43-01），应整体替换，并在《记录清单》中同步登记，避免出现无编号记录。</w:t>
      </w:r>
    </w:p>
    <w:p>
      <w:pPr>
        <w:numPr>
          <w:ilvl w:val="0"/>
          <w:numId w:val="1007"/>
        </w:numPr>
        <w:pStyle w:val="Compact"/>
      </w:pPr>
      <w:r>
        <w:rPr>
          <w:b/>
        </w:rPr>
        <w:t xml:space="preserve">首次推行时增加一次演练</w:t>
      </w:r>
      <w:r>
        <w:t xml:space="preserve">。建议在小范围内先按本文件跑一次输入准备（不正式召开会议），重点检验口径是否统一、模板是否好用，修订后正式推行，可显著减少首年返工。</w:t>
      </w:r>
    </w:p>
    <w:p>
      <w:pPr>
        <w:pStyle w:val="FirstParagraph"/>
      </w:pPr>
      <w:r>
        <w:rPr>
          <w:b/>
        </w:rPr>
        <w:t xml:space="preserve">二、审核关注点（内审与认证审核高频）</w:t>
      </w:r>
    </w:p>
    <w:p>
      <w:pPr>
        <w:numPr>
          <w:ilvl w:val="0"/>
          <w:numId w:val="1008"/>
        </w:numPr>
        <w:pStyle w:val="Compact"/>
      </w:pPr>
      <w:r>
        <w:t xml:space="preserve">9.3.2 各项输入是否齐全：审核员通常逐条比对标准 a) 至 f) 与输入报告目录，任一项缺失即为不符合；</w:t>
      </w:r>
    </w:p>
    <w:p>
      <w:pPr>
        <w:numPr>
          <w:ilvl w:val="0"/>
          <w:numId w:val="1008"/>
        </w:numPr>
        <w:pStyle w:val="Compact"/>
      </w:pPr>
      <w:r>
        <w:t xml:space="preserve">输入数据与原始记录是否可追溯：抽查一两个指标，看能否从报告数值追到台账与原始记录；</w:t>
      </w:r>
    </w:p>
    <w:p>
      <w:pPr>
        <w:numPr>
          <w:ilvl w:val="0"/>
          <w:numId w:val="1008"/>
        </w:numPr>
        <w:pStyle w:val="Compact"/>
      </w:pPr>
      <w:r>
        <w:t xml:space="preserve">统计区间与口径是否统一：同一指标在不同文档中数值是否一致，是否存在两套数据；</w:t>
      </w:r>
    </w:p>
    <w:p>
      <w:pPr>
        <w:numPr>
          <w:ilvl w:val="0"/>
          <w:numId w:val="1008"/>
        </w:numPr>
        <w:pStyle w:val="Compact"/>
      </w:pPr>
      <w:r>
        <w:t xml:space="preserve">上次管理评审输出的措施是否全部有实施状态与验证结论，未完成的是否有新的期限与理由；</w:t>
      </w:r>
    </w:p>
    <w:p>
      <w:pPr>
        <w:numPr>
          <w:ilvl w:val="0"/>
          <w:numId w:val="1008"/>
        </w:numPr>
        <w:pStyle w:val="Compact"/>
      </w:pPr>
      <w:r>
        <w:t xml:space="preserve">顾客满意数据的真实性与代表性：调查方式、样本量、回收率是否合理，是否存在只挂不回收或全部给满分的情形；</w:t>
      </w:r>
    </w:p>
    <w:p>
      <w:pPr>
        <w:numPr>
          <w:ilvl w:val="0"/>
          <w:numId w:val="1008"/>
        </w:numPr>
        <w:pStyle w:val="Compact"/>
      </w:pPr>
      <w:r>
        <w:t xml:space="preserve">资源充分性是否有结论性判断，是否只罗列资源现状而无判断与决策；</w:t>
      </w:r>
    </w:p>
    <w:p>
      <w:pPr>
        <w:numPr>
          <w:ilvl w:val="0"/>
          <w:numId w:val="1008"/>
        </w:numPr>
        <w:pStyle w:val="Compact"/>
      </w:pPr>
      <w:r>
        <w:t xml:space="preserve">风险和机遇措施有效性是否有跟踪证据，是否只更新台账而不评价措施是否有效；</w:t>
      </w:r>
    </w:p>
    <w:p>
      <w:pPr>
        <w:numPr>
          <w:ilvl w:val="0"/>
          <w:numId w:val="1008"/>
        </w:numPr>
        <w:pStyle w:val="Compact"/>
      </w:pPr>
      <w:r>
        <w:t xml:space="preserve">输入资料的发放时间是否有记录，能否证明参会人员在会前收到资料；</w:t>
      </w:r>
    </w:p>
    <w:p>
      <w:pPr>
        <w:numPr>
          <w:ilvl w:val="0"/>
          <w:numId w:val="1008"/>
        </w:numPr>
        <w:pStyle w:val="Compact"/>
      </w:pPr>
      <w:r>
        <w:t xml:space="preserve">输入报告与会议记录、决议清单的内容是否对应，是否存在报告里提到的问题在决议中消失的情况；</w:t>
      </w:r>
    </w:p>
    <w:p>
      <w:pPr>
        <w:numPr>
          <w:ilvl w:val="0"/>
          <w:numId w:val="1008"/>
        </w:numPr>
        <w:pStyle w:val="Compact"/>
      </w:pPr>
      <w:r>
        <w:t xml:space="preserve">多场所企业的输入是否覆盖全部场所，异地与驻外点是否长期以总部数据替代。</w:t>
      </w:r>
    </w:p>
    <w:p>
      <w:pPr>
        <w:pStyle w:val="FirstParagraph"/>
      </w:pPr>
      <w:r>
        <w:rPr>
          <w:b/>
        </w:rPr>
        <w:t xml:space="preserve">三、常见错误</w:t>
      </w:r>
    </w:p>
    <w:p>
      <w:pPr>
        <w:numPr>
          <w:ilvl w:val="0"/>
          <w:numId w:val="1009"/>
        </w:numPr>
        <w:pStyle w:val="Compact"/>
      </w:pPr>
      <w:r>
        <w:rPr>
          <w:b/>
        </w:rPr>
        <w:t xml:space="preserve">把输入准备做成</w:t>
      </w:r>
      <w:r>
        <w:rPr>
          <w:b/>
        </w:rPr>
        <w:t xml:space="preserve">“</w:t>
      </w:r>
      <w:r>
        <w:rPr>
          <w:b/>
        </w:rPr>
        <w:t xml:space="preserve">填表格交作业</w:t>
      </w:r>
      <w:r>
        <w:rPr>
          <w:b/>
        </w:rPr>
        <w:t xml:space="preserve">”</w:t>
      </w:r>
      <w:r>
        <w:rPr>
          <w:b/>
        </w:rPr>
        <w:t xml:space="preserve">。</w:t>
      </w:r>
      <w:r>
        <w:t xml:space="preserve"> </w:t>
      </w:r>
      <w:r>
        <w:t xml:space="preserve">各部门按模板填完数字就交，不分析、不提建议、不申请资源，报告成了数据堆砌。对策：在模板中把</w:t>
      </w:r>
      <w:r>
        <w:t xml:space="preserve">“</w:t>
      </w:r>
      <w:r>
        <w:t xml:space="preserve">原因分析</w:t>
      </w:r>
      <w:r>
        <w:t xml:space="preserve">”</w:t>
      </w:r>
      <w:r>
        <w:t xml:space="preserve">“</w:t>
      </w:r>
      <w:r>
        <w:t xml:space="preserve">资源需求</w:t>
      </w:r>
      <w:r>
        <w:t xml:space="preserve">”</w:t>
      </w:r>
      <w:r>
        <w:t xml:space="preserve">“</w:t>
      </w:r>
      <w:r>
        <w:t xml:space="preserve">改进机会</w:t>
      </w:r>
      <w:r>
        <w:t xml:space="preserve">”</w:t>
      </w:r>
      <w:r>
        <w:t xml:space="preserve">设为必填项，空缺即退回，且明确这三项不达标视为输入不合格。</w:t>
      </w:r>
    </w:p>
    <w:p>
      <w:pPr>
        <w:numPr>
          <w:ilvl w:val="0"/>
          <w:numId w:val="1009"/>
        </w:numPr>
        <w:pStyle w:val="Compact"/>
      </w:pPr>
      <w:r>
        <w:rPr>
          <w:b/>
        </w:rPr>
        <w:t xml:space="preserve">数据口径各说各话。</w:t>
      </w:r>
      <w:r>
        <w:t xml:space="preserve"> </w:t>
      </w:r>
      <w:r>
        <w:t xml:space="preserve">同一个交付及时率，销售部按合同签订交期算，生产部按生产计划算，会上争议半小时。对策：由质量部在启动会上一次性明确每个指标的定义、公式、分子分母与统计区间，并以《数据口径定义表》随清单下发，口径变更须经管理者代表批准。</w:t>
      </w:r>
    </w:p>
    <w:p>
      <w:pPr>
        <w:numPr>
          <w:ilvl w:val="0"/>
          <w:numId w:val="1009"/>
        </w:numPr>
        <w:pStyle w:val="Compact"/>
      </w:pPr>
      <w:r>
        <w:rPr>
          <w:b/>
        </w:rPr>
        <w:t xml:space="preserve">为了让指标好看而调整口径或剔除数据。</w:t>
      </w:r>
      <w:r>
        <w:t xml:space="preserve"> </w:t>
      </w:r>
      <w:r>
        <w:t xml:space="preserve">把不合格率的分母改成</w:t>
      </w:r>
      <w:r>
        <w:t xml:space="preserve">“</w:t>
      </w:r>
      <w:r>
        <w:t xml:space="preserve">已入库数量</w:t>
      </w:r>
      <w:r>
        <w:t xml:space="preserve">”</w:t>
      </w:r>
      <w:r>
        <w:t xml:space="preserve">、把退货不算投诉，短期漂亮，外部审核一查即破。对策：坚持 4.7 节的四条数据处理原则，异常值双口径并列，口径变更留存审批记录。</w:t>
      </w:r>
    </w:p>
    <w:p>
      <w:pPr>
        <w:numPr>
          <w:ilvl w:val="0"/>
          <w:numId w:val="1009"/>
        </w:numPr>
        <w:pStyle w:val="Compact"/>
      </w:pPr>
      <w:r>
        <w:rPr>
          <w:b/>
        </w:rPr>
        <w:t xml:space="preserve">输入资料会前不发放，会上现看现讲。</w:t>
      </w:r>
      <w:r>
        <w:t xml:space="preserve"> </w:t>
      </w:r>
      <w:r>
        <w:t xml:space="preserve">最高管理者当场消化数据，评审只能停留在</w:t>
      </w:r>
      <w:r>
        <w:t xml:space="preserve">“</w:t>
      </w:r>
      <w:r>
        <w:t xml:space="preserve">知道了</w:t>
      </w:r>
      <w:r>
        <w:t xml:space="preserve">”</w:t>
      </w:r>
      <w:r>
        <w:t xml:space="preserve">层面。对策：把</w:t>
      </w:r>
      <w:r>
        <w:t xml:space="preserve">“</w:t>
      </w:r>
      <w:r>
        <w:t xml:space="preserve">提前 7 天发放</w:t>
      </w:r>
      <w:r>
        <w:t xml:space="preserve">”</w:t>
      </w:r>
      <w:r>
        <w:t xml:space="preserve">写入本文件并有发放记录，会上直接进入判断与决策环节。</w:t>
      </w:r>
    </w:p>
    <w:p>
      <w:pPr>
        <w:numPr>
          <w:ilvl w:val="0"/>
          <w:numId w:val="1009"/>
        </w:numPr>
        <w:pStyle w:val="Compact"/>
      </w:pPr>
      <w:r>
        <w:rPr>
          <w:b/>
        </w:rPr>
        <w:t xml:space="preserve">上一次评审的措施没有回音。</w:t>
      </w:r>
      <w:r>
        <w:t xml:space="preserve"> </w:t>
      </w:r>
      <w:r>
        <w:t xml:space="preserve">这次输入只讲本期情况，上次要求的资源投入、流程修订是否落实无人提及。对策：把《措施跟踪表》固定作为输入报告第 a) 项与附件七，未完成项必须说明原因与新期限。</w:t>
      </w:r>
    </w:p>
    <w:p>
      <w:pPr>
        <w:numPr>
          <w:ilvl w:val="0"/>
          <w:numId w:val="1009"/>
        </w:numPr>
        <w:pStyle w:val="Compact"/>
      </w:pPr>
      <w:r>
        <w:rPr>
          <w:b/>
        </w:rPr>
        <w:t xml:space="preserve">顾客满意度只有分数没有分析。</w:t>
      </w:r>
      <w:r>
        <w:t xml:space="preserve"> </w:t>
      </w:r>
      <w:r>
        <w:t xml:space="preserve">报出一个 92 分就结束，不知道哪一项低、为什么低、跟谁比低。对策：满意度输入必须拆到评价维度（质量、交期、服务、价格），列出低分维度及改进方向，并给出样本量与回收率。</w:t>
      </w:r>
    </w:p>
    <w:p>
      <w:pPr>
        <w:numPr>
          <w:ilvl w:val="0"/>
          <w:numId w:val="1009"/>
        </w:numPr>
        <w:pStyle w:val="Compact"/>
      </w:pPr>
      <w:r>
        <w:rPr>
          <w:b/>
        </w:rPr>
        <w:t xml:space="preserve">外部供方绩效只报合格率。</w:t>
      </w:r>
      <w:r>
        <w:t xml:space="preserve"> </w:t>
      </w:r>
      <w:r>
        <w:t xml:space="preserve">交期、售后配合、体系审核结果、变更通知全部不体现，供方管理的系统性问题被掩盖。对策：按《供方准入与绩效评价作业指导书》的评价维度完整取数，至少给出评分、分级与淘汰新增情况。</w:t>
      </w:r>
    </w:p>
    <w:p>
      <w:pPr>
        <w:numPr>
          <w:ilvl w:val="0"/>
          <w:numId w:val="1009"/>
        </w:numPr>
        <w:pStyle w:val="Compact"/>
      </w:pPr>
      <w:r>
        <w:rPr>
          <w:b/>
        </w:rPr>
        <w:t xml:space="preserve">资源需求写成愿望清单。</w:t>
      </w:r>
      <w:r>
        <w:t xml:space="preserve"> </w:t>
      </w:r>
      <w:r>
        <w:t xml:space="preserve">要人、要钱、要设备，但不写理由、不写不投入的后果、不写预期收益，管理层无从决策。对策：资源需求一律按</w:t>
      </w:r>
      <w:r>
        <w:t xml:space="preserve">“</w:t>
      </w:r>
      <w:r>
        <w:t xml:space="preserve">缺口—影响—建议方案—投入估算—预期效果</w:t>
      </w:r>
      <w:r>
        <w:t xml:space="preserve">”</w:t>
      </w:r>
      <w:r>
        <w:t xml:space="preserve">五要素填写。</w:t>
      </w:r>
    </w:p>
    <w:p>
      <w:pPr>
        <w:numPr>
          <w:ilvl w:val="0"/>
          <w:numId w:val="1009"/>
        </w:numPr>
        <w:pStyle w:val="Compact"/>
      </w:pPr>
      <w:r>
        <w:rPr>
          <w:b/>
        </w:rPr>
        <w:t xml:space="preserve">改进机会全部由质量部代写。</w:t>
      </w:r>
      <w:r>
        <w:t xml:space="preserve"> </w:t>
      </w:r>
      <w:r>
        <w:t xml:space="preserve">各部门零建议，说明输入准备彻底形式化。对策：把</w:t>
      </w:r>
      <w:r>
        <w:t xml:space="preserve">“</w:t>
      </w:r>
      <w:r>
        <w:t xml:space="preserve">每部门至少一条改进建议</w:t>
      </w:r>
      <w:r>
        <w:t xml:space="preserve">”</w:t>
      </w:r>
      <w:r>
        <w:t xml:space="preserve">写入提交要求，并在报告中对零建议部门予以说明。</w:t>
      </w:r>
    </w:p>
    <w:p>
      <w:pPr>
        <w:numPr>
          <w:ilvl w:val="0"/>
          <w:numId w:val="1009"/>
        </w:numPr>
        <w:pStyle w:val="Compact"/>
      </w:pPr>
      <w:r>
        <w:rPr>
          <w:b/>
        </w:rPr>
        <w:t xml:space="preserve">一评一卷没做到，资料散落各处。</w:t>
      </w:r>
      <w:r>
        <w:t xml:space="preserve"> </w:t>
      </w:r>
      <w:r>
        <w:t xml:space="preserve">认证审核时拿不出完整的输入资料，只能临时拼凑。对策：按 4.9 节做到一评一卷、一卷一目录，卷内能索引到内审卷与外审卷。</w:t>
      </w:r>
    </w:p>
    <w:p>
      <w:r>
        <w:pict>
          <v:rect style="width:0;height:1.5pt" o:hralign="center" o:hrstd="t" o:hr="t"/>
        </w:pict>
      </w:r>
    </w:p>
    <w:p>
      <w:pPr>
        <w:pStyle w:val="BlockText"/>
      </w:pPr>
      <w:r>
        <w:t xml:space="preserve">管理评审开得空不空，答案在会前的输入里</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2026-09-21T04:40:02Z</dcterms:created>
  <dcterms:modified xsi:type="dcterms:W3CDTF">2026-09-21T04:40:02Z</dcterms:modified>
</cp:coreProperties>
</file>

<file path=docProps/custom.xml><?xml version="1.0" encoding="utf-8"?>
<Properties xmlns="http://schemas.openxmlformats.org/officeDocument/2006/custom-properties" xmlns:vt="http://schemas.openxmlformats.org/officeDocument/2006/docPropsVTypes"/>
</file>