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44数据分析与统计工具应用指导书"/>
      <w:r>
        <w:t xml:space="preserve">ISO9001体系文件套包（44）｜数据分析与统计工具应用指导书</w:t>
      </w:r>
      <w:bookmarkEnd w:id="20"/>
    </w:p>
    <w:p>
      <w:pPr>
        <w:pStyle w:val="FirstParagraph"/>
      </w:pPr>
      <w:r>
        <w:rPr>
          <w:b/>
        </w:rPr>
        <w:t xml:space="preserve">文件编号</w:t>
      </w:r>
      <w:r>
        <w:t xml:space="preserve">：WI-QA-44　|　</w:t>
      </w:r>
      <w:r>
        <w:rPr>
          <w:b/>
        </w:rPr>
        <w:t xml:space="preserve">文件级别</w:t>
      </w:r>
      <w:r>
        <w:t xml:space="preserve">：三级文件（作业指导书）　|　</w:t>
      </w:r>
      <w:r>
        <w:rPr>
          <w:b/>
        </w:rPr>
        <w:t xml:space="preserve">对应条款</w:t>
      </w:r>
      <w:r>
        <w:t xml:space="preserve">：ISO 9001:2015 9.1.1 监视、测量、分析和评价（总则）、9.1.3 分析与评价、8.5.1 生产和服务提供控制、10.3 持续改进</w:t>
      </w:r>
    </w:p>
    <w:p>
      <w:pPr>
        <w:pStyle w:val="BodyText"/>
      </w:pPr>
      <w:r>
        <w:rPr>
          <w:b/>
        </w:rPr>
        <w:t xml:space="preserve">文件说明</w:t>
      </w:r>
      <w:r>
        <w:t xml:space="preserve">：本作业指导书是二级文件《数据分析与评价程序》（QP-24）在技术操作层的展开。《数据分析与评价程序》解决的是</w:t>
      </w:r>
      <w:r>
        <w:t xml:space="preserve">“</w:t>
      </w:r>
      <w:r>
        <w:t xml:space="preserve">哪些数据要收、谁来分析、结论怎么用</w:t>
      </w:r>
      <w:r>
        <w:t xml:space="preserve">”</w:t>
      </w:r>
      <w:r>
        <w:t xml:space="preserve">这类程序性问题；本文件解决的是另一个更具体、也更容易落空的问题——</w:t>
      </w:r>
      <w:r>
        <w:rPr>
          <w:b/>
        </w:rPr>
        <w:t xml:space="preserve">面对一批数据，究竟该用哪个统计工具、按什么条件用、算出来的数怎么判读、判读结论怎么变成措施</w:t>
      </w:r>
      <w:r>
        <w:t xml:space="preserve">。实践中统计工具推不动，很少是因为软件不会用，而是因为选错了工具、样本条件不成立、判定准则没有事先约定、图算出来之后没人据此决策：不良数拿去做控制图、连续型数据用柏拉图排不出重点、量测系统本身没做 MSA 就急着算 Cpk、Cpk 低于 1.0 却因为</w:t>
      </w:r>
      <w:r>
        <w:t xml:space="preserve">“</w:t>
      </w:r>
      <w:r>
        <w:t xml:space="preserve">客户没有要求</w:t>
      </w:r>
      <w:r>
        <w:t xml:space="preserve">”</w:t>
      </w:r>
      <w:r>
        <w:t xml:space="preserve">而搁置。适用于已建立质量管理体系、需要在过程监控与绩效评价环节实质应用统计技术的制造、装配、加工、检测与服务企业，尤其适合已规定</w:t>
      </w:r>
      <w:r>
        <w:t xml:space="preserve">“</w:t>
      </w:r>
      <w:r>
        <w:t xml:space="preserve">要用统计技术</w:t>
      </w:r>
      <w:r>
        <w:t xml:space="preserve">”</w:t>
      </w:r>
      <w:r>
        <w:t xml:space="preserve">但工具应用零散、判定口径不统一、图表与分析结论脱节的企业；也适用于已导入 SPC 软件或数据采集系统、需要把系统里的图表纳入受控文件管理的企业。文件主体包含工具选用路径、数据与样本条件、七类常用工具应用规范、过程能力分析、控制图选用与判异、结论到措施的接口、软件与数据文件管理、记录填写与归档八段完整条文，并附各类应用表单的字段清单、填写说明与示例行，可直接套用为受控文件发布。</w:t>
      </w:r>
    </w:p>
    <w:p>
      <w:r>
        <w:pict>
          <v:rect style="width:0;height:1.5pt" o:hralign="center" o:hrstd="t" o:hr="t"/>
        </w:pict>
      </w:r>
    </w:p>
    <w:p>
      <w:pPr>
        <w:pStyle w:val="Heading2"/>
      </w:pPr>
      <w:bookmarkStart w:id="21" w:name="一目的"/>
      <w:r>
        <w:t xml:space="preserve">一、目的</w:t>
      </w:r>
      <w:bookmarkEnd w:id="21"/>
    </w:p>
    <w:p>
      <w:pPr>
        <w:pStyle w:val="FirstParagraph"/>
      </w:pPr>
      <w:r>
        <w:t xml:space="preserve">规范统计技术在质量管理活动中的选用、实施、判读与结果处置，确保：</w:t>
      </w:r>
    </w:p>
    <w:p>
      <w:pPr>
        <w:numPr>
          <w:ilvl w:val="0"/>
          <w:numId w:val="1001"/>
        </w:numPr>
        <w:pStyle w:val="Compact"/>
      </w:pPr>
      <w:r>
        <w:t xml:space="preserve">每一个使用统计工具的数据场景，都有明确的工具选用依据，不因个人习惯而随意作图、随意算数；</w:t>
      </w:r>
    </w:p>
    <w:p>
      <w:pPr>
        <w:numPr>
          <w:ilvl w:val="0"/>
          <w:numId w:val="1001"/>
        </w:numPr>
        <w:pStyle w:val="Compact"/>
      </w:pPr>
      <w:r>
        <w:t xml:space="preserve">工具应用的前提条件先于计算：数据类型与分布特性、样本量与抽样方式、量测系统的可接受性、过程的稳定性依次确认，条件不成立时不得输出结论性数值；</w:t>
      </w:r>
    </w:p>
    <w:p>
      <w:pPr>
        <w:numPr>
          <w:ilvl w:val="0"/>
          <w:numId w:val="1001"/>
        </w:numPr>
        <w:pStyle w:val="Compact"/>
      </w:pPr>
      <w:r>
        <w:t xml:space="preserve">判定准则事先约定并以文件形式固化，同一类图、同一类指标在任何部门、任何人员手中得到相同的判读结果，避免</w:t>
      </w:r>
      <w:r>
        <w:t xml:space="preserve">“</w:t>
      </w:r>
      <w:r>
        <w:t xml:space="preserve">看图说话</w:t>
      </w:r>
      <w:r>
        <w:t xml:space="preserve">”</w:t>
      </w:r>
      <w:r>
        <w:t xml:space="preserve">；</w:t>
      </w:r>
    </w:p>
    <w:p>
      <w:pPr>
        <w:numPr>
          <w:ilvl w:val="0"/>
          <w:numId w:val="1001"/>
        </w:numPr>
        <w:pStyle w:val="Compact"/>
      </w:pPr>
      <w:r>
        <w:t xml:space="preserve">统计结果不以</w:t>
      </w:r>
      <w:r>
        <w:t xml:space="preserve">“</w:t>
      </w:r>
      <w:r>
        <w:t xml:space="preserve">算完了</w:t>
      </w:r>
      <w:r>
        <w:t xml:space="preserve">”</w:t>
      </w:r>
      <w:r>
        <w:t xml:space="preserve">为终点，凡触发判定准则的，必须转入原因分析与措施跟踪，形成</w:t>
      </w:r>
      <w:r>
        <w:t xml:space="preserve">“</w:t>
      </w:r>
      <w:r>
        <w:t xml:space="preserve">数据—结论—措施—验证</w:t>
      </w:r>
      <w:r>
        <w:t xml:space="preserve">”</w:t>
      </w:r>
      <w:r>
        <w:t xml:space="preserve">的闭环；</w:t>
      </w:r>
    </w:p>
    <w:p>
      <w:pPr>
        <w:numPr>
          <w:ilvl w:val="0"/>
          <w:numId w:val="1001"/>
        </w:numPr>
        <w:pStyle w:val="Compact"/>
      </w:pPr>
      <w:r>
        <w:t xml:space="preserve">工具应用过程与结果可追溯，所用原始数据、计算公式、软件与版本、分析人、复核人有记录，认证审核与顾客审核时可随时复现。</w:t>
      </w:r>
    </w:p>
    <w:p>
      <w:pPr>
        <w:pStyle w:val="Heading2"/>
      </w:pPr>
      <w:bookmarkStart w:id="22" w:name="二适用范围"/>
      <w:r>
        <w:t xml:space="preserve">二、适用范围</w:t>
      </w:r>
      <w:bookmarkEnd w:id="22"/>
    </w:p>
    <w:p>
      <w:pPr>
        <w:pStyle w:val="FirstParagraph"/>
      </w:pPr>
      <w:r>
        <w:t xml:space="preserve">2.1 适用于本公司质量管理体系覆盖的下列活动中统计工具的选用与应用：产品和服务的符合性数据监控、生产过程关键特性的过程控制、过程能力与工序能力的评价、不合格与缺陷的分布与趋势分析、监视和测量资源的能力确认、顾客满意与投诉数据的分析、外部供方绩效数据的分析、体系绩效与改进机会的辨识。</w:t>
      </w:r>
    </w:p>
    <w:p>
      <w:pPr>
        <w:pStyle w:val="BodyText"/>
      </w:pPr>
      <w:r>
        <w:t xml:space="preserve">2.2 覆盖的统计工具包括：检查表（数据采集表）、分层法、柏拉图、因果图与系统图（树图）、直方图、散点图与相关分析、控制图（计量型与计数型）、过程能力分析（Cp／Cpk／Pp／Ppk）、测量系统分析（MSA：重复性、再现性、偏倚、线性、稳定性）、要点检与简单推断统计（均值、极差、标准差、比例检验、趋势判断）。</w:t>
      </w:r>
    </w:p>
    <w:p>
      <w:pPr>
        <w:pStyle w:val="BodyText"/>
      </w:pPr>
      <w:r>
        <w:t xml:space="preserve">2.3 本文件不覆盖以下内容，按对应文件执行：</w:t>
      </w:r>
    </w:p>
    <w:tbl>
      <w:tblPr>
        <w:tblStyle w:val="Table"/>
        <w:tblW w:type="pct" w:w="0.0"/>
        <w:tblLook w:firstRow="1"/>
      </w:tblPr>
      <w:tblGrid/>
      <w:tr>
        <w:trPr>
          <w:cnfStyle w:firstRow="1"/>
        </w:trPr>
        <w:tc>
          <w:tcPr>
            <w:tcBorders>
              <w:bottom w:val="single"/>
            </w:tcBorders>
            <w:vAlign w:val="bottom"/>
          </w:tcPr>
          <w:p>
            <w:pPr>
              <w:pStyle w:val="Compact"/>
              <w:jc w:val="left"/>
            </w:pPr>
            <w:r>
              <w:t xml:space="preserve">情形</w:t>
            </w:r>
          </w:p>
        </w:tc>
        <w:tc>
          <w:tcPr>
            <w:tcBorders>
              <w:bottom w:val="single"/>
            </w:tcBorders>
            <w:vAlign w:val="bottom"/>
          </w:tcPr>
          <w:p>
            <w:pPr>
              <w:pStyle w:val="Compact"/>
              <w:jc w:val="left"/>
            </w:pPr>
            <w:r>
              <w:t xml:space="preserve">执行文件</w:t>
            </w:r>
          </w:p>
        </w:tc>
      </w:tr>
      <w:tr>
        <w:tc>
          <w:p>
            <w:pPr>
              <w:pStyle w:val="Compact"/>
              <w:jc w:val="left"/>
            </w:pPr>
            <w:r>
              <w:t xml:space="preserve">数据分析的总体要求、数据种类划分与评价结论的使用</w:t>
            </w:r>
          </w:p>
        </w:tc>
        <w:tc>
          <w:p>
            <w:pPr>
              <w:pStyle w:val="Compact"/>
              <w:jc w:val="left"/>
            </w:pPr>
            <w:r>
              <w:t xml:space="preserve">《数据分析与评价程序》（QP-24）</w:t>
            </w:r>
          </w:p>
        </w:tc>
      </w:tr>
      <w:tr>
        <w:tc>
          <w:p>
            <w:pPr>
              <w:pStyle w:val="Compact"/>
              <w:jc w:val="left"/>
            </w:pPr>
            <w:r>
              <w:t xml:space="preserve">关键特性的识别与特殊特性的确定</w:t>
            </w:r>
          </w:p>
        </w:tc>
        <w:tc>
          <w:p>
            <w:pPr>
              <w:pStyle w:val="Compact"/>
              <w:jc w:val="left"/>
            </w:pPr>
            <w:r>
              <w:t xml:space="preserve">《产品实现策划程序》（QP-13）、《设计和开发控制程序》（QP-15）</w:t>
            </w:r>
          </w:p>
        </w:tc>
      </w:tr>
      <w:tr>
        <w:tc>
          <w:p>
            <w:pPr>
              <w:pStyle w:val="Compact"/>
              <w:jc w:val="left"/>
            </w:pPr>
            <w:r>
              <w:t xml:space="preserve">统计技术的人才培养、资格认定与培训组织</w:t>
            </w:r>
          </w:p>
        </w:tc>
        <w:tc>
          <w:p>
            <w:pPr>
              <w:pStyle w:val="Compact"/>
              <w:jc w:val="left"/>
            </w:pPr>
            <w:r>
              <w:t xml:space="preserve">《人力资源管理程序》（QP-08）、《员工培训作业指导书》（WI-QA-31）</w:t>
            </w:r>
          </w:p>
        </w:tc>
      </w:tr>
      <w:tr>
        <w:tc>
          <w:p>
            <w:pPr>
              <w:pStyle w:val="Compact"/>
              <w:jc w:val="left"/>
            </w:pPr>
            <w:r>
              <w:t xml:space="preserve">量测设备（量具）的校准与期间核查</w:t>
            </w:r>
          </w:p>
        </w:tc>
        <w:tc>
          <w:p>
            <w:pPr>
              <w:pStyle w:val="Compact"/>
              <w:jc w:val="left"/>
            </w:pPr>
            <w:r>
              <w:t xml:space="preserve">《监视和测量资源控制程序》（QP-10）、《计量器具校准与期间核查作业指导书》（WI-QA-33）</w:t>
            </w:r>
          </w:p>
        </w:tc>
      </w:tr>
      <w:tr>
        <w:tc>
          <w:p>
            <w:pPr>
              <w:pStyle w:val="Compact"/>
              <w:jc w:val="left"/>
            </w:pPr>
            <w:r>
              <w:t xml:space="preserve">试验设计（DOE）、抽样检验方案（AQL）的专门应用</w:t>
            </w:r>
          </w:p>
        </w:tc>
        <w:tc>
          <w:p>
            <w:pPr>
              <w:pStyle w:val="Compact"/>
              <w:jc w:val="left"/>
            </w:pPr>
            <w:r>
              <w:t xml:space="preserve">按公司相关技术文件或顾客指定标准执行，本文件仅规定其数据接口与记录要求</w:t>
            </w:r>
          </w:p>
        </w:tc>
      </w:tr>
      <w:tr>
        <w:tc>
          <w:p>
            <w:pPr>
              <w:pStyle w:val="Compact"/>
              <w:jc w:val="left"/>
            </w:pPr>
            <w:r>
              <w:t xml:space="preserve">数据统计结果触发的不合格处置与纠正措施</w:t>
            </w:r>
          </w:p>
        </w:tc>
        <w:tc>
          <w:p>
            <w:pPr>
              <w:pStyle w:val="Compact"/>
              <w:jc w:val="left"/>
            </w:pPr>
            <w:r>
              <w:t xml:space="preserve">《不合格品控制程序》（QP-22）、《纠正措施实施与验证作业指导书》（WI-QA-45）</w:t>
            </w:r>
          </w:p>
        </w:tc>
      </w:tr>
    </w:tbl>
    <w:p>
      <w:pPr>
        <w:pStyle w:val="BodyText"/>
      </w:pPr>
      <w:r>
        <w:t xml:space="preserve">2.4 顾客、行业标准或法规对统计方法另有强制规定（如汽车行业的过程能力要求、医疗器械的过程确认要求）时，优先执行外部要求；外部要求严于本文件时不得降低，本文件仅作为不冲突部分的补充。</w:t>
      </w:r>
    </w:p>
    <w:p>
      <w:pPr>
        <w:pStyle w:val="Heading2"/>
      </w:pPr>
      <w:bookmarkStart w:id="23" w:name="三职责"/>
      <w:r>
        <w:t xml:space="preserve">三、职责</w:t>
      </w:r>
      <w:bookmarkEnd w:id="23"/>
    </w:p>
    <w:p>
      <w:pPr>
        <w:pStyle w:val="FirstParagraph"/>
      </w:pPr>
      <w:r>
        <w:t xml:space="preserve">3.1</w:t>
      </w:r>
      <w:r>
        <w:t xml:space="preserve"> </w:t>
      </w:r>
      <w:r>
        <w:rPr>
          <w:b/>
        </w:rPr>
        <w:t xml:space="preserve">管理者代表</w:t>
      </w:r>
      <w:r>
        <w:t xml:space="preserve">：批准本公司统计工具应用的整体范围与判定准则；批准年度《统计工具应用计划表》；对工具应用中发现的过程能力不达标、判定准则长期不被执行的重大事项做出决策。</w:t>
      </w:r>
    </w:p>
    <w:p>
      <w:pPr>
        <w:pStyle w:val="BodyText"/>
      </w:pPr>
      <w:r>
        <w:t xml:space="preserve">3.2</w:t>
      </w:r>
      <w:r>
        <w:t xml:space="preserve"> </w:t>
      </w:r>
      <w:r>
        <w:rPr>
          <w:b/>
        </w:rPr>
        <w:t xml:space="preserve">质量部（归口管理部门）</w:t>
      </w:r>
      <w:r>
        <w:t xml:space="preserve">：负责本文件的执行落地。编制并维护《统计工具选用指引》与判定准则；编制年度《统计工具应用计划表》并跟踪落实；对各部门提供的图表与分析结论进行技术复核；组织统计工具的培训、考核与能力认定；保管工具应用的软件模板、公式与版本说明；汇总工具应用有效性评价。</w:t>
      </w:r>
    </w:p>
    <w:p>
      <w:pPr>
        <w:pStyle w:val="BodyText"/>
      </w:pPr>
      <w:r>
        <w:t xml:space="preserve">3.3</w:t>
      </w:r>
      <w:r>
        <w:t xml:space="preserve"> </w:t>
      </w:r>
      <w:r>
        <w:rPr>
          <w:b/>
        </w:rPr>
        <w:t xml:space="preserve">质量工程师（统计技术责任岗）</w:t>
      </w:r>
      <w:r>
        <w:t xml:space="preserve">：具体承担工具选用的技术指导与结果复核。确认数据类型、样本条件与量测系统状态；指导控制图、过程能力分析的实施；对异常判读结论给出技术意见；参与跨部门数据争议的技术裁定。</w:t>
      </w:r>
    </w:p>
    <w:p>
      <w:pPr>
        <w:pStyle w:val="BodyText"/>
      </w:pPr>
      <w:r>
        <w:t xml:space="preserve">3.4</w:t>
      </w:r>
      <w:r>
        <w:t xml:space="preserve"> </w:t>
      </w:r>
      <w:r>
        <w:rPr>
          <w:b/>
        </w:rPr>
        <w:t xml:space="preserve">技术／研发部</w:t>
      </w:r>
      <w:r>
        <w:t xml:space="preserve">：在设计开发与工艺定型阶段确定需进行过程控制与能力评价的特性清单及规格限；对统计结果反映的设计余量不足、规格不合理问题做出技术处理。</w:t>
      </w:r>
    </w:p>
    <w:p>
      <w:pPr>
        <w:pStyle w:val="BodyText"/>
      </w:pPr>
      <w:r>
        <w:t xml:space="preserve">3.5</w:t>
      </w:r>
      <w:r>
        <w:t xml:space="preserve"> </w:t>
      </w:r>
      <w:r>
        <w:rPr>
          <w:b/>
        </w:rPr>
        <w:t xml:space="preserve">生产部</w:t>
      </w:r>
      <w:r>
        <w:t xml:space="preserve">：按计划采集过程数据，按时绘制与更新控制图，第一时间响应判异信号并做好现场记录；配合进行分层与原因分析；不得对已采集的原始数据做无记录的修改。</w:t>
      </w:r>
    </w:p>
    <w:p>
      <w:pPr>
        <w:pStyle w:val="BodyText"/>
      </w:pPr>
      <w:r>
        <w:t xml:space="preserve">3.6</w:t>
      </w:r>
      <w:r>
        <w:t xml:space="preserve"> </w:t>
      </w:r>
      <w:r>
        <w:rPr>
          <w:b/>
        </w:rPr>
        <w:t xml:space="preserve">检验／试验部门</w:t>
      </w:r>
      <w:r>
        <w:t xml:space="preserve">：负责进货、过程、成品检验数据的采集与真实性；负责按本文件要求开展量具的 MSA 分析；保证测量数据对应的测量条件、量具编号、测量人员可追溯。</w:t>
      </w:r>
    </w:p>
    <w:p>
      <w:pPr>
        <w:pStyle w:val="BodyText"/>
      </w:pPr>
      <w:r>
        <w:t xml:space="preserve">3.7</w:t>
      </w:r>
      <w:r>
        <w:t xml:space="preserve"> </w:t>
      </w:r>
      <w:r>
        <w:rPr>
          <w:b/>
        </w:rPr>
        <w:t xml:space="preserve">销售／客服部</w:t>
      </w:r>
      <w:r>
        <w:t xml:space="preserve">：按季度提供顾客满意、投诉分类与交付履约数据的统计基础数据，配合完成柏拉图与趋势分析。</w:t>
      </w:r>
    </w:p>
    <w:p>
      <w:pPr>
        <w:pStyle w:val="BodyText"/>
      </w:pPr>
      <w:r>
        <w:t xml:space="preserve">3.8</w:t>
      </w:r>
      <w:r>
        <w:t xml:space="preserve"> </w:t>
      </w:r>
      <w:r>
        <w:rPr>
          <w:b/>
        </w:rPr>
        <w:t xml:space="preserve">采购部</w:t>
      </w:r>
      <w:r>
        <w:t xml:space="preserve">：提供外部供方的来料合格率、交付及时率等原始数据，配合完成供方绩效的统计分析与分级。</w:t>
      </w:r>
    </w:p>
    <w:p>
      <w:pPr>
        <w:pStyle w:val="BodyText"/>
      </w:pPr>
      <w:r>
        <w:t xml:space="preserve">3.9</w:t>
      </w:r>
      <w:r>
        <w:t xml:space="preserve"> </w:t>
      </w:r>
      <w:r>
        <w:rPr>
          <w:b/>
        </w:rPr>
        <w:t xml:space="preserve">人力资源部</w:t>
      </w:r>
      <w:r>
        <w:t xml:space="preserve">：按认定结果安排统计工具培训，将统计工具应用能力纳入相应岗位的任职资格要求。</w:t>
      </w:r>
    </w:p>
    <w:p>
      <w:pPr>
        <w:pStyle w:val="Heading2"/>
      </w:pPr>
      <w:bookmarkStart w:id="24" w:name="四工作程序"/>
      <w:r>
        <w:t xml:space="preserve">四、工作程序</w:t>
      </w:r>
      <w:bookmarkEnd w:id="24"/>
    </w:p>
    <w:p>
      <w:pPr>
        <w:pStyle w:val="Heading3"/>
      </w:pPr>
      <w:bookmarkStart w:id="25" w:name="工具选用路径"/>
      <w:r>
        <w:t xml:space="preserve">4.1 工具选用路径</w:t>
      </w:r>
      <w:bookmarkEnd w:id="25"/>
    </w:p>
    <w:p>
      <w:pPr>
        <w:pStyle w:val="FirstParagraph"/>
      </w:pPr>
      <w:r>
        <w:t xml:space="preserve">4.1.1 选用统计工具应按</w:t>
      </w:r>
      <w:r>
        <w:t xml:space="preserve">“</w:t>
      </w:r>
      <w:r>
        <w:t xml:space="preserve">先看目的、再看数据类型、最后看条件</w:t>
      </w:r>
      <w:r>
        <w:t xml:space="preserve">”</w:t>
      </w:r>
      <w:r>
        <w:t xml:space="preserve">的顺序决策，不得跳过目的直接选用熟悉的工具。工具选用按下列路径执行：</w:t>
      </w:r>
    </w:p>
    <w:p>
      <w:pPr>
        <w:pStyle w:val="SourceCode"/>
      </w:pPr>
      <w:r>
        <w:rPr>
          <w:rStyle w:val="VerbatimChar"/>
        </w:rPr>
        <w:t xml:space="preserve">目的：我想知道什么？</w:t>
      </w:r>
      <w:r>
        <w:br/>
      </w:r>
      <w:r>
        <w:rPr>
          <w:rStyle w:val="VerbatimChar"/>
        </w:rPr>
        <w:t xml:space="preserve">  |</w:t>
      </w:r>
      <w:r>
        <w:br/>
      </w:r>
      <w:r>
        <w:rPr>
          <w:rStyle w:val="VerbatimChar"/>
        </w:rPr>
        <w:t xml:space="preserve">  +-- 收集和整理事实（问题发生在哪里、有多少）</w:t>
      </w:r>
      <w:r>
        <w:br/>
      </w:r>
      <w:r>
        <w:rPr>
          <w:rStyle w:val="VerbatimChar"/>
        </w:rPr>
        <w:t xml:space="preserve">  |     -&gt; 检查表（数据采集表） + 分层法</w:t>
      </w:r>
      <w:r>
        <w:br/>
      </w:r>
      <w:r>
        <w:rPr>
          <w:rStyle w:val="VerbatimChar"/>
        </w:rPr>
        <w:t xml:space="preserve">  |</w:t>
      </w:r>
      <w:r>
        <w:br/>
      </w:r>
      <w:r>
        <w:rPr>
          <w:rStyle w:val="VerbatimChar"/>
        </w:rPr>
        <w:t xml:space="preserve">  +-- 找出主要问题（哪些项占了大头）</w:t>
      </w:r>
      <w:r>
        <w:br/>
      </w:r>
      <w:r>
        <w:rPr>
          <w:rStyle w:val="VerbatimChar"/>
        </w:rPr>
        <w:t xml:space="preserve">  |     -&gt; 柏拉图（计数型数据） / 直方图+规格对比（计量型数据）</w:t>
      </w:r>
      <w:r>
        <w:br/>
      </w:r>
      <w:r>
        <w:rPr>
          <w:rStyle w:val="VerbatimChar"/>
        </w:rPr>
        <w:t xml:space="preserve">  |</w:t>
      </w:r>
      <w:r>
        <w:br/>
      </w:r>
      <w:r>
        <w:rPr>
          <w:rStyle w:val="VerbatimChar"/>
        </w:rPr>
        <w:t xml:space="preserve">  +-- 找出原因（为什么会这样）</w:t>
      </w:r>
      <w:r>
        <w:br/>
      </w:r>
      <w:r>
        <w:rPr>
          <w:rStyle w:val="VerbatimChar"/>
        </w:rPr>
        <w:t xml:space="preserve">  |     -&gt; 因果图（5M1E） / 系统图（树图） / 散点图（两个变量的关系）</w:t>
      </w:r>
      <w:r>
        <w:br/>
      </w:r>
      <w:r>
        <w:rPr>
          <w:rStyle w:val="VerbatimChar"/>
        </w:rPr>
        <w:t xml:space="preserve">  |</w:t>
      </w:r>
      <w:r>
        <w:br/>
      </w:r>
      <w:r>
        <w:rPr>
          <w:rStyle w:val="VerbatimChar"/>
        </w:rPr>
        <w:t xml:space="preserve">  +-- 看过程是否稳定（现在还受控吗）</w:t>
      </w:r>
      <w:r>
        <w:br/>
      </w:r>
      <w:r>
        <w:rPr>
          <w:rStyle w:val="VerbatimChar"/>
        </w:rPr>
        <w:t xml:space="preserve">  |     -&gt; 控制图（计量型取 X̄-R / X̄-s，计数型取 p / np / c / u）</w:t>
      </w:r>
      <w:r>
        <w:br/>
      </w:r>
      <w:r>
        <w:rPr>
          <w:rStyle w:val="VerbatimChar"/>
        </w:rPr>
        <w:t xml:space="preserve">  |</w:t>
      </w:r>
      <w:r>
        <w:br/>
      </w:r>
      <w:r>
        <w:rPr>
          <w:rStyle w:val="VerbatimChar"/>
        </w:rPr>
        <w:t xml:space="preserve">  +-- 看过程是否有能力（稳定了够不够好）</w:t>
      </w:r>
      <w:r>
        <w:br/>
      </w:r>
      <w:r>
        <w:rPr>
          <w:rStyle w:val="VerbatimChar"/>
        </w:rPr>
        <w:t xml:space="preserve">  |     -&gt; 过程能力分析（Cp / Cpk / Pp / Ppk），前提是过程受控</w:t>
      </w:r>
      <w:r>
        <w:br/>
      </w:r>
      <w:r>
        <w:rPr>
          <w:rStyle w:val="VerbatimChar"/>
        </w:rPr>
        <w:t xml:space="preserve">  |</w:t>
      </w:r>
      <w:r>
        <w:br/>
      </w:r>
      <w:r>
        <w:rPr>
          <w:rStyle w:val="VerbatimChar"/>
        </w:rPr>
        <w:t xml:space="preserve">  +-- 看数据本身可不可信（量出来的数准不准）</w:t>
      </w:r>
      <w:r>
        <w:br/>
      </w:r>
      <w:r>
        <w:rPr>
          <w:rStyle w:val="VerbatimChar"/>
        </w:rPr>
        <w:t xml:space="preserve">        -&gt; 测量系统分析（MSA：GRR / 偏倚 / 线性 / 稳定性），发生在前述所有分析之前</w:t>
      </w:r>
    </w:p>
    <w:p>
      <w:pPr>
        <w:pStyle w:val="FirstParagraph"/>
      </w:pPr>
      <w:r>
        <w:t xml:space="preserve">4.1.2 工具选用指引应包含</w:t>
      </w:r>
      <w:r>
        <w:t xml:space="preserve">“</w:t>
      </w:r>
      <w:r>
        <w:t xml:space="preserve">数据场景—数据类型—选用工具—前提条件—输出物</w:t>
      </w:r>
      <w:r>
        <w:t xml:space="preserve">”</w:t>
      </w:r>
      <w:r>
        <w:t xml:space="preserve">五列，随年度计划下发，各部门不得自行以其他工具替代。常见场景的对应关系如下表：</w:t>
      </w:r>
    </w:p>
    <w:tbl>
      <w:tblPr>
        <w:tblStyle w:val="Table"/>
        <w:tblW w:type="pct" w:w="0.0"/>
        <w:tblLook w:firstRow="1"/>
      </w:tblPr>
      <w:tblGrid/>
      <w:tr>
        <w:trPr>
          <w:cnfStyle w:firstRow="1"/>
        </w:trPr>
        <w:tc>
          <w:tcPr>
            <w:tcBorders>
              <w:bottom w:val="single"/>
            </w:tcBorders>
            <w:vAlign w:val="bottom"/>
          </w:tcPr>
          <w:p>
            <w:pPr>
              <w:pStyle w:val="Compact"/>
              <w:jc w:val="left"/>
            </w:pPr>
            <w:r>
              <w:t xml:space="preserve">数据场景</w:t>
            </w:r>
          </w:p>
        </w:tc>
        <w:tc>
          <w:tcPr>
            <w:tcBorders>
              <w:bottom w:val="single"/>
            </w:tcBorders>
            <w:vAlign w:val="bottom"/>
          </w:tcPr>
          <w:p>
            <w:pPr>
              <w:pStyle w:val="Compact"/>
              <w:jc w:val="left"/>
            </w:pPr>
            <w:r>
              <w:t xml:space="preserve">数据类型</w:t>
            </w:r>
          </w:p>
        </w:tc>
        <w:tc>
          <w:tcPr>
            <w:tcBorders>
              <w:bottom w:val="single"/>
            </w:tcBorders>
            <w:vAlign w:val="bottom"/>
          </w:tcPr>
          <w:p>
            <w:pPr>
              <w:pStyle w:val="Compact"/>
              <w:jc w:val="left"/>
            </w:pPr>
            <w:r>
              <w:t xml:space="preserve">选用工具</w:t>
            </w:r>
          </w:p>
        </w:tc>
        <w:tc>
          <w:tcPr>
            <w:tcBorders>
              <w:bottom w:val="single"/>
            </w:tcBorders>
            <w:vAlign w:val="bottom"/>
          </w:tcPr>
          <w:p>
            <w:pPr>
              <w:pStyle w:val="Compact"/>
              <w:jc w:val="left"/>
            </w:pPr>
            <w:r>
              <w:t xml:space="preserve">前提条件</w:t>
            </w:r>
          </w:p>
        </w:tc>
        <w:tc>
          <w:tcPr>
            <w:tcBorders>
              <w:bottom w:val="single"/>
            </w:tcBorders>
            <w:vAlign w:val="bottom"/>
          </w:tcPr>
          <w:p>
            <w:pPr>
              <w:pStyle w:val="Compact"/>
              <w:jc w:val="left"/>
            </w:pPr>
            <w:r>
              <w:t xml:space="preserve">输出物</w:t>
            </w:r>
          </w:p>
        </w:tc>
      </w:tr>
      <w:tr>
        <w:tc>
          <w:p>
            <w:pPr>
              <w:pStyle w:val="Compact"/>
              <w:jc w:val="left"/>
            </w:pPr>
            <w:r>
              <w:t xml:space="preserve">缺陷按类型、按工序的分布</w:t>
            </w:r>
          </w:p>
        </w:tc>
        <w:tc>
          <w:p>
            <w:pPr>
              <w:pStyle w:val="Compact"/>
              <w:jc w:val="left"/>
            </w:pPr>
            <w:r>
              <w:t xml:space="preserve">计数型</w:t>
            </w:r>
          </w:p>
        </w:tc>
        <w:tc>
          <w:p>
            <w:pPr>
              <w:pStyle w:val="Compact"/>
              <w:jc w:val="left"/>
            </w:pPr>
            <w:r>
              <w:t xml:space="preserve">检查表＋分层＋柏拉图</w:t>
            </w:r>
          </w:p>
        </w:tc>
        <w:tc>
          <w:p>
            <w:pPr>
              <w:pStyle w:val="Compact"/>
              <w:jc w:val="left"/>
            </w:pPr>
            <w:r>
              <w:t xml:space="preserve">分类定义唯一、不重不漏</w:t>
            </w:r>
          </w:p>
        </w:tc>
        <w:tc>
          <w:p>
            <w:pPr>
              <w:pStyle w:val="Compact"/>
              <w:jc w:val="left"/>
            </w:pPr>
            <w:r>
              <w:t xml:space="preserve">缺陷分布分析记录</w:t>
            </w:r>
          </w:p>
        </w:tc>
      </w:tr>
      <w:tr>
        <w:tc>
          <w:p>
            <w:pPr>
              <w:pStyle w:val="Compact"/>
              <w:jc w:val="left"/>
            </w:pPr>
            <w:r>
              <w:t xml:space="preserve">单一特性尺寸的波动形态</w:t>
            </w:r>
          </w:p>
        </w:tc>
        <w:tc>
          <w:p>
            <w:pPr>
              <w:pStyle w:val="Compact"/>
              <w:jc w:val="left"/>
            </w:pPr>
            <w:r>
              <w:t xml:space="preserve">计量型</w:t>
            </w:r>
          </w:p>
        </w:tc>
        <w:tc>
          <w:p>
            <w:pPr>
              <w:pStyle w:val="Compact"/>
              <w:jc w:val="left"/>
            </w:pPr>
            <w:r>
              <w:t xml:space="preserve">直方图＋规格限对比</w:t>
            </w:r>
          </w:p>
        </w:tc>
        <w:tc>
          <w:p>
            <w:pPr>
              <w:pStyle w:val="Compact"/>
              <w:jc w:val="left"/>
            </w:pPr>
            <w:r>
              <w:t xml:space="preserve">抽样未分层混样</w:t>
            </w:r>
          </w:p>
        </w:tc>
        <w:tc>
          <w:p>
            <w:pPr>
              <w:pStyle w:val="Compact"/>
              <w:jc w:val="left"/>
            </w:pPr>
            <w:r>
              <w:t xml:space="preserve">直方图分析记录</w:t>
            </w:r>
          </w:p>
        </w:tc>
      </w:tr>
      <w:tr>
        <w:tc>
          <w:p>
            <w:pPr>
              <w:pStyle w:val="Compact"/>
              <w:jc w:val="left"/>
            </w:pPr>
            <w:r>
              <w:t xml:space="preserve">关键特性随时间的稳定性</w:t>
            </w:r>
          </w:p>
        </w:tc>
        <w:tc>
          <w:p>
            <w:pPr>
              <w:pStyle w:val="Compact"/>
              <w:jc w:val="left"/>
            </w:pPr>
            <w:r>
              <w:t xml:space="preserve">计量型</w:t>
            </w:r>
          </w:p>
        </w:tc>
        <w:tc>
          <w:p>
            <w:pPr>
              <w:pStyle w:val="Compact"/>
              <w:jc w:val="left"/>
            </w:pPr>
            <w:r>
              <w:t xml:space="preserve">X̄-R 或 X̄-s 控制图</w:t>
            </w:r>
          </w:p>
        </w:tc>
        <w:tc>
          <w:p>
            <w:pPr>
              <w:pStyle w:val="Compact"/>
              <w:jc w:val="left"/>
            </w:pPr>
            <w:r>
              <w:t xml:space="preserve">量测系统已通过 GRR、子组内同条件</w:t>
            </w:r>
          </w:p>
        </w:tc>
        <w:tc>
          <w:p>
            <w:pPr>
              <w:pStyle w:val="Compact"/>
              <w:jc w:val="left"/>
            </w:pPr>
            <w:r>
              <w:t xml:space="preserve">控制图及判异记录</w:t>
            </w:r>
          </w:p>
        </w:tc>
      </w:tr>
      <w:tr>
        <w:tc>
          <w:p>
            <w:pPr>
              <w:pStyle w:val="Compact"/>
              <w:jc w:val="left"/>
            </w:pPr>
            <w:r>
              <w:t xml:space="preserve">不良率随批次的稳定性</w:t>
            </w:r>
          </w:p>
        </w:tc>
        <w:tc>
          <w:p>
            <w:pPr>
              <w:pStyle w:val="Compact"/>
              <w:jc w:val="left"/>
            </w:pPr>
            <w:r>
              <w:t xml:space="preserve">计数型</w:t>
            </w:r>
          </w:p>
        </w:tc>
        <w:tc>
          <w:p>
            <w:pPr>
              <w:pStyle w:val="Compact"/>
              <w:jc w:val="left"/>
            </w:pPr>
            <w:r>
              <w:t xml:space="preserve">p 或 np 控制图</w:t>
            </w:r>
          </w:p>
        </w:tc>
        <w:tc>
          <w:p>
            <w:pPr>
              <w:pStyle w:val="Compact"/>
              <w:jc w:val="left"/>
            </w:pPr>
            <w:r>
              <w:t xml:space="preserve">样本量足够、批的定义明确</w:t>
            </w:r>
          </w:p>
        </w:tc>
        <w:tc>
          <w:p>
            <w:pPr>
              <w:pStyle w:val="Compact"/>
              <w:jc w:val="left"/>
            </w:pPr>
            <w:r>
              <w:t xml:space="preserve">控制图及判异记录</w:t>
            </w:r>
          </w:p>
        </w:tc>
      </w:tr>
      <w:tr>
        <w:tc>
          <w:p>
            <w:pPr>
              <w:pStyle w:val="Compact"/>
              <w:jc w:val="left"/>
            </w:pPr>
            <w:r>
              <w:t xml:space="preserve">单位产品缺陷数（如每台缺陷数）</w:t>
            </w:r>
          </w:p>
        </w:tc>
        <w:tc>
          <w:p>
            <w:pPr>
              <w:pStyle w:val="Compact"/>
              <w:jc w:val="left"/>
            </w:pPr>
            <w:r>
              <w:t xml:space="preserve">计数型</w:t>
            </w:r>
          </w:p>
        </w:tc>
        <w:tc>
          <w:p>
            <w:pPr>
              <w:pStyle w:val="Compact"/>
              <w:jc w:val="left"/>
            </w:pPr>
            <w:r>
              <w:t xml:space="preserve">c 或 u 控制图</w:t>
            </w:r>
          </w:p>
        </w:tc>
        <w:tc>
          <w:p>
            <w:pPr>
              <w:pStyle w:val="Compact"/>
              <w:jc w:val="left"/>
            </w:pPr>
            <w:r>
              <w:t xml:space="preserve">检验单位大小可比</w:t>
            </w:r>
          </w:p>
        </w:tc>
        <w:tc>
          <w:p>
            <w:pPr>
              <w:pStyle w:val="Compact"/>
              <w:jc w:val="left"/>
            </w:pPr>
            <w:r>
              <w:t xml:space="preserve">控制图及判异记录</w:t>
            </w:r>
          </w:p>
        </w:tc>
      </w:tr>
      <w:tr>
        <w:tc>
          <w:p>
            <w:pPr>
              <w:pStyle w:val="Compact"/>
              <w:jc w:val="left"/>
            </w:pPr>
            <w:r>
              <w:t xml:space="preserve">过程能力是否满足规格要求</w:t>
            </w:r>
          </w:p>
        </w:tc>
        <w:tc>
          <w:p>
            <w:pPr>
              <w:pStyle w:val="Compact"/>
              <w:jc w:val="left"/>
            </w:pPr>
            <w:r>
              <w:t xml:space="preserve">计量型</w:t>
            </w:r>
          </w:p>
        </w:tc>
        <w:tc>
          <w:p>
            <w:pPr>
              <w:pStyle w:val="Compact"/>
              <w:jc w:val="left"/>
            </w:pPr>
            <w:r>
              <w:t xml:space="preserve">Cp／Cpk（受控后）</w:t>
            </w:r>
          </w:p>
        </w:tc>
        <w:tc>
          <w:p>
            <w:pPr>
              <w:pStyle w:val="Compact"/>
              <w:jc w:val="left"/>
            </w:pPr>
            <w:r>
              <w:t xml:space="preserve">过程稳定、数据近似正态、MSA 合格</w:t>
            </w:r>
          </w:p>
        </w:tc>
        <w:tc>
          <w:p>
            <w:pPr>
              <w:pStyle w:val="Compact"/>
              <w:jc w:val="left"/>
            </w:pPr>
            <w:r>
              <w:t xml:space="preserve">过程能力分析报告</w:t>
            </w:r>
          </w:p>
        </w:tc>
      </w:tr>
      <w:tr>
        <w:tc>
          <w:p>
            <w:pPr>
              <w:pStyle w:val="Compact"/>
              <w:jc w:val="left"/>
            </w:pPr>
            <w:r>
              <w:t xml:space="preserve">两个变量是否存在关联（如温度与硬度）</w:t>
            </w:r>
          </w:p>
        </w:tc>
        <w:tc>
          <w:p>
            <w:pPr>
              <w:pStyle w:val="Compact"/>
              <w:jc w:val="left"/>
            </w:pPr>
            <w:r>
              <w:t xml:space="preserve">计量型</w:t>
            </w:r>
          </w:p>
        </w:tc>
        <w:tc>
          <w:p>
            <w:pPr>
              <w:pStyle w:val="Compact"/>
              <w:jc w:val="left"/>
            </w:pPr>
            <w:r>
              <w:t xml:space="preserve">散点图＋相关系数</w:t>
            </w:r>
          </w:p>
        </w:tc>
        <w:tc>
          <w:p>
            <w:pPr>
              <w:pStyle w:val="Compact"/>
              <w:jc w:val="left"/>
            </w:pPr>
            <w:r>
              <w:t xml:space="preserve">变量定义清晰、样本覆盖范围足够</w:t>
            </w:r>
          </w:p>
        </w:tc>
        <w:tc>
          <w:p>
            <w:pPr>
              <w:pStyle w:val="Compact"/>
              <w:jc w:val="left"/>
            </w:pPr>
            <w:r>
              <w:t xml:space="preserve">相关性分析记录</w:t>
            </w:r>
          </w:p>
        </w:tc>
      </w:tr>
      <w:tr>
        <w:tc>
          <w:p>
            <w:pPr>
              <w:pStyle w:val="Compact"/>
              <w:jc w:val="left"/>
            </w:pPr>
            <w:r>
              <w:t xml:space="preserve">量具能否用于该特性的测量</w:t>
            </w:r>
          </w:p>
        </w:tc>
        <w:tc>
          <w:p>
            <w:pPr>
              <w:pStyle w:val="Compact"/>
              <w:jc w:val="left"/>
            </w:pPr>
            <w:r>
              <w:t xml:space="preserve">计量型</w:t>
            </w:r>
          </w:p>
        </w:tc>
        <w:tc>
          <w:p>
            <w:pPr>
              <w:pStyle w:val="Compact"/>
              <w:jc w:val="left"/>
            </w:pPr>
            <w:r>
              <w:t xml:space="preserve">GRR（均值极差法或 ANOVA）</w:t>
            </w:r>
          </w:p>
        </w:tc>
        <w:tc>
          <w:p>
            <w:pPr>
              <w:pStyle w:val="Compact"/>
              <w:jc w:val="left"/>
            </w:pPr>
            <w:r>
              <w:t xml:space="preserve">样品覆盖过程范围、测量者代表实际操作</w:t>
            </w:r>
          </w:p>
        </w:tc>
        <w:tc>
          <w:p>
            <w:pPr>
              <w:pStyle w:val="Compact"/>
              <w:jc w:val="left"/>
            </w:pPr>
            <w:r>
              <w:t xml:space="preserve">MSA 报告</w:t>
            </w:r>
          </w:p>
        </w:tc>
      </w:tr>
      <w:tr>
        <w:tc>
          <w:p>
            <w:pPr>
              <w:pStyle w:val="Compact"/>
              <w:jc w:val="left"/>
            </w:pPr>
            <w:r>
              <w:t xml:space="preserve">多项改进机会的优先排序</w:t>
            </w:r>
          </w:p>
        </w:tc>
        <w:tc>
          <w:p>
            <w:pPr>
              <w:pStyle w:val="Compact"/>
              <w:jc w:val="left"/>
            </w:pPr>
            <w:r>
              <w:t xml:space="preserve">计分型</w:t>
            </w:r>
          </w:p>
        </w:tc>
        <w:tc>
          <w:p>
            <w:pPr>
              <w:pStyle w:val="Compact"/>
              <w:jc w:val="left"/>
            </w:pPr>
            <w:r>
              <w:t xml:space="preserve">矩阵评分或加权评分</w:t>
            </w:r>
          </w:p>
        </w:tc>
        <w:tc>
          <w:p>
            <w:pPr>
              <w:pStyle w:val="Compact"/>
              <w:jc w:val="left"/>
            </w:pPr>
            <w:r>
              <w:t xml:space="preserve">评价维度与权重事先约定</w:t>
            </w:r>
          </w:p>
        </w:tc>
        <w:tc>
          <w:p>
            <w:pPr>
              <w:pStyle w:val="Compact"/>
              <w:jc w:val="left"/>
            </w:pPr>
            <w:r>
              <w:t xml:space="preserve">改进机会汇总表</w:t>
            </w:r>
          </w:p>
        </w:tc>
      </w:tr>
    </w:tbl>
    <w:p>
      <w:pPr>
        <w:pStyle w:val="BodyText"/>
      </w:pPr>
      <w:r>
        <w:t xml:space="preserve">4.1.3 同一分析任务需要多工具组合时，应按</w:t>
      </w:r>
      <w:r>
        <w:t xml:space="preserve">“</w:t>
      </w:r>
      <w:r>
        <w:t xml:space="preserve">数据可信性—分布形态—稳定性—能力—原因—措施</w:t>
      </w:r>
      <w:r>
        <w:t xml:space="preserve">”</w:t>
      </w:r>
      <w:r>
        <w:t xml:space="preserve">的顺序推进，前一环节结论不成立时不得进入下一环节。典型组合为：MSA → 检查表／分层 → 柏拉图或直方图 → 控制图 → 过程能力分析 → 因果图／散点图 → 措施与验证。</w:t>
      </w:r>
    </w:p>
    <w:p>
      <w:pPr>
        <w:pStyle w:val="Heading3"/>
      </w:pPr>
      <w:bookmarkStart w:id="26" w:name="数据与样本条件"/>
      <w:r>
        <w:t xml:space="preserve">4.2 数据与样本条件</w:t>
      </w:r>
      <w:bookmarkEnd w:id="26"/>
    </w:p>
    <w:p>
      <w:pPr>
        <w:pStyle w:val="FirstParagraph"/>
      </w:pPr>
      <w:r>
        <w:t xml:space="preserve">4.2.1 数据采集前必须明确</w:t>
      </w:r>
      <w:r>
        <w:t xml:space="preserve">“</w:t>
      </w:r>
      <w:r>
        <w:t xml:space="preserve">五要素</w:t>
      </w:r>
      <w:r>
        <w:t xml:space="preserve">”</w:t>
      </w:r>
      <w:r>
        <w:t xml:space="preserve">并写入《统计工具应用计划表》：特性名称及规格限、数据类型、数据来源（测量系统或记录台账）、抽样方式与频率、样本量及统计区间。任一要素未明确的场景不得开始采集。</w:t>
      </w:r>
    </w:p>
    <w:p>
      <w:pPr>
        <w:pStyle w:val="BodyText"/>
      </w:pPr>
      <w:r>
        <w:t xml:space="preserve">4.2.2 抽样应符合下列要求：</w:t>
      </w:r>
    </w:p>
    <w:p>
      <w:pPr>
        <w:numPr>
          <w:ilvl w:val="0"/>
          <w:numId w:val="1002"/>
        </w:numPr>
        <w:pStyle w:val="Compact"/>
      </w:pPr>
      <w:r>
        <w:rPr>
          <w:b/>
        </w:rPr>
        <w:t xml:space="preserve">代表性</w:t>
      </w:r>
      <w:r>
        <w:t xml:space="preserve">：样本应覆盖过程实际波动的全部条件，包括不同班次、不同设备、不同操作者、不同批次原料；仅在某一班次取样的数据不得用于评价整体过程能力；</w:t>
      </w:r>
    </w:p>
    <w:p>
      <w:pPr>
        <w:numPr>
          <w:ilvl w:val="0"/>
          <w:numId w:val="1002"/>
        </w:numPr>
        <w:pStyle w:val="Compact"/>
      </w:pPr>
      <w:r>
        <w:rPr>
          <w:b/>
        </w:rPr>
        <w:t xml:space="preserve">子组合理性</w:t>
      </w:r>
      <w:r>
        <w:t xml:space="preserve">：计量型控制图的子组应由</w:t>
      </w:r>
      <w:r>
        <w:t xml:space="preserve">“</w:t>
      </w:r>
      <w:r>
        <w:t xml:space="preserve">同一短时间内、同一条件</w:t>
      </w:r>
      <w:r>
        <w:t xml:space="preserve">”</w:t>
      </w:r>
      <w:r>
        <w:t xml:space="preserve">下的连续产品组成，子组内尽量只包含普通原因波动；子组大小不宜超过 5（X̄-R 图）或 3～10（X̄-s 图），并保持固定；</w:t>
      </w:r>
    </w:p>
    <w:p>
      <w:pPr>
        <w:numPr>
          <w:ilvl w:val="0"/>
          <w:numId w:val="1002"/>
        </w:numPr>
        <w:pStyle w:val="Compact"/>
      </w:pPr>
      <w:r>
        <w:rPr>
          <w:b/>
        </w:rPr>
        <w:t xml:space="preserve">样本量下限</w:t>
      </w:r>
      <w:r>
        <w:t xml:space="preserve">：控制图建立阶段建议不少于 20～25 组；过程能力分析的样本量建议不少于 100 个（能力研究）或不少于 25 组（控制图法）；MSA 的 GRR 分析一般取 10 个覆盖过程范围的样品、2～3 名测量者、每人每件测 2～3 次；</w:t>
      </w:r>
    </w:p>
    <w:p>
      <w:pPr>
        <w:numPr>
          <w:ilvl w:val="0"/>
          <w:numId w:val="1002"/>
        </w:numPr>
        <w:pStyle w:val="Compact"/>
      </w:pPr>
      <w:r>
        <w:rPr>
          <w:b/>
        </w:rPr>
        <w:t xml:space="preserve">随机性与盲测</w:t>
      </w:r>
      <w:r>
        <w:t xml:space="preserve">：MSA 或多人测量时应打乱样品顺序、隐去样品标识与测量者身份，防止记忆效应与主观倾向；</w:t>
      </w:r>
    </w:p>
    <w:p>
      <w:pPr>
        <w:numPr>
          <w:ilvl w:val="0"/>
          <w:numId w:val="1002"/>
        </w:numPr>
        <w:pStyle w:val="Compact"/>
      </w:pPr>
      <w:r>
        <w:rPr>
          <w:b/>
        </w:rPr>
        <w:t xml:space="preserve">不允许挑选数据</w:t>
      </w:r>
      <w:r>
        <w:t xml:space="preserve">：不得因数据</w:t>
      </w:r>
      <w:r>
        <w:t xml:space="preserve">“</w:t>
      </w:r>
      <w:r>
        <w:t xml:space="preserve">不好看</w:t>
      </w:r>
      <w:r>
        <w:t xml:space="preserve">”</w:t>
      </w:r>
      <w:r>
        <w:t xml:space="preserve">而延长或缩短采集区间、更换抽样时点。所有剔除必须有原因说明与审批记录。</w:t>
      </w:r>
    </w:p>
    <w:p>
      <w:pPr>
        <w:pStyle w:val="FirstParagraph"/>
      </w:pPr>
      <w:r>
        <w:t xml:space="preserve">4.2.3 数据记录应符合《记录填写与归档作业指导书》（WI-QA-39）：原始数据用不可擦写方式记录，采用电子采集的须保留原始文件与导出记录，人工誊抄须双人核对；数据修正采用划线更正并签注原因，不得涂改、覆盖或删除原始值。</w:t>
      </w:r>
    </w:p>
    <w:p>
      <w:pPr>
        <w:pStyle w:val="BodyText"/>
      </w:pPr>
      <w:r>
        <w:t xml:space="preserve">4.2.4 量测系统先行原则：凡用于计算过程能力指数或用于控制图判定的数据，其测量系统必须已完成 GRR 分析且结论为可接受；未完成 MSA 的数据不得用于能力判定，只能作为参考信息。GRR 判定准则一般按下列执行（顾客另有约定的从其约定）：</w:t>
      </w:r>
    </w:p>
    <w:tbl>
      <w:tblPr>
        <w:tblStyle w:val="Table"/>
        <w:tblW w:type="pct" w:w="0.0"/>
        <w:tblLook w:firstRow="1"/>
      </w:tblPr>
      <w:tblGrid/>
      <w:tr>
        <w:trPr>
          <w:cnfStyle w:firstRow="1"/>
        </w:trPr>
        <w:tc>
          <w:tcPr>
            <w:tcBorders>
              <w:bottom w:val="single"/>
            </w:tcBorders>
            <w:vAlign w:val="bottom"/>
          </w:tcPr>
          <w:p>
            <w:pPr>
              <w:pStyle w:val="Compact"/>
              <w:jc w:val="left"/>
            </w:pPr>
            <w:r>
              <w:t xml:space="preserve">评价指标</w:t>
            </w:r>
          </w:p>
        </w:tc>
        <w:tc>
          <w:tcPr>
            <w:tcBorders>
              <w:bottom w:val="single"/>
            </w:tcBorders>
            <w:vAlign w:val="bottom"/>
          </w:tcPr>
          <w:p>
            <w:pPr>
              <w:pStyle w:val="Compact"/>
              <w:jc w:val="left"/>
            </w:pPr>
            <w:r>
              <w:t xml:space="preserve">可接受</w:t>
            </w:r>
          </w:p>
        </w:tc>
        <w:tc>
          <w:tcPr>
            <w:tcBorders>
              <w:bottom w:val="single"/>
            </w:tcBorders>
            <w:vAlign w:val="bottom"/>
          </w:tcPr>
          <w:p>
            <w:pPr>
              <w:pStyle w:val="Compact"/>
              <w:jc w:val="left"/>
            </w:pPr>
            <w:r>
              <w:t xml:space="preserve">有条件接受</w:t>
            </w:r>
          </w:p>
        </w:tc>
        <w:tc>
          <w:tcPr>
            <w:tcBorders>
              <w:bottom w:val="single"/>
            </w:tcBorders>
            <w:vAlign w:val="bottom"/>
          </w:tcPr>
          <w:p>
            <w:pPr>
              <w:pStyle w:val="Compact"/>
              <w:jc w:val="left"/>
            </w:pPr>
            <w:r>
              <w:t xml:space="preserve">不可接受</w:t>
            </w:r>
          </w:p>
        </w:tc>
      </w:tr>
      <w:tr>
        <w:tc>
          <w:p>
            <w:pPr>
              <w:pStyle w:val="Compact"/>
              <w:jc w:val="left"/>
            </w:pPr>
            <w:r>
              <w:t xml:space="preserve">%GRR（重复性再现性与公差之比）</w:t>
            </w:r>
          </w:p>
        </w:tc>
        <w:tc>
          <w:p>
            <w:pPr>
              <w:pStyle w:val="Compact"/>
              <w:jc w:val="left"/>
            </w:pPr>
            <w:r>
              <w:t xml:space="preserve">≤10%</w:t>
            </w:r>
          </w:p>
        </w:tc>
        <w:tc>
          <w:p>
            <w:pPr>
              <w:pStyle w:val="Compact"/>
              <w:jc w:val="left"/>
            </w:pPr>
            <w:r>
              <w:t xml:space="preserve">10%～30%（须评估风险并批准）</w:t>
            </w:r>
          </w:p>
        </w:tc>
        <w:tc>
          <w:p>
            <w:pPr>
              <w:pStyle w:val="Compact"/>
              <w:jc w:val="left"/>
            </w:pPr>
            <w:r>
              <w:t xml:space="preserve">&gt;30%（须改进测量系统后重测）</w:t>
            </w:r>
          </w:p>
        </w:tc>
      </w:tr>
      <w:tr>
        <w:tc>
          <w:p>
            <w:pPr>
              <w:pStyle w:val="Compact"/>
              <w:jc w:val="left"/>
            </w:pPr>
            <w:r>
              <w:t xml:space="preserve">可区分数（ndc）</w:t>
            </w:r>
          </w:p>
        </w:tc>
        <w:tc>
          <w:p>
            <w:pPr>
              <w:pStyle w:val="Compact"/>
              <w:jc w:val="left"/>
            </w:pPr>
            <w:r>
              <w:t xml:space="preserve">≥5</w:t>
            </w:r>
          </w:p>
        </w:tc>
        <w:tc>
          <w:p>
            <w:pPr>
              <w:pStyle w:val="Compact"/>
              <w:jc w:val="left"/>
            </w:pPr>
            <w:r>
              <w:t xml:space="preserve">3～4（须改进）</w:t>
            </w:r>
          </w:p>
        </w:tc>
        <w:tc>
          <w:p>
            <w:pPr>
              <w:pStyle w:val="Compact"/>
              <w:jc w:val="left"/>
            </w:pPr>
            <w:r>
              <w:t xml:space="preserve">&lt;3</w:t>
            </w:r>
          </w:p>
        </w:tc>
      </w:tr>
    </w:tbl>
    <w:p>
      <w:pPr>
        <w:pStyle w:val="Heading3"/>
      </w:pPr>
      <w:bookmarkStart w:id="27" w:name="常用工具应用规范"/>
      <w:r>
        <w:t xml:space="preserve">4.3 常用工具应用规范</w:t>
      </w:r>
      <w:bookmarkEnd w:id="27"/>
    </w:p>
    <w:p>
      <w:pPr>
        <w:pStyle w:val="FirstParagraph"/>
      </w:pPr>
      <w:r>
        <w:t xml:space="preserve">4.3.1</w:t>
      </w:r>
      <w:r>
        <w:t xml:space="preserve"> </w:t>
      </w:r>
      <w:r>
        <w:rPr>
          <w:b/>
        </w:rPr>
        <w:t xml:space="preserve">检查表（数据采集表）</w:t>
      </w:r>
    </w:p>
    <w:p>
      <w:pPr>
        <w:numPr>
          <w:ilvl w:val="0"/>
          <w:numId w:val="1003"/>
        </w:numPr>
        <w:pStyle w:val="Compact"/>
      </w:pPr>
      <w:r>
        <w:t xml:space="preserve">检查表必须与所采集的数据用途匹配：用于统计缺陷分布的采用</w:t>
      </w:r>
      <w:r>
        <w:t xml:space="preserve">“</w:t>
      </w:r>
      <w:r>
        <w:t xml:space="preserve">缺陷类型×工序</w:t>
      </w:r>
      <w:r>
        <w:t xml:space="preserve">”</w:t>
      </w:r>
      <w:r>
        <w:t xml:space="preserve">矩阵式；用于记录连续测量值的采用</w:t>
      </w:r>
      <w:r>
        <w:t xml:space="preserve">“</w:t>
      </w:r>
      <w:r>
        <w:t xml:space="preserve">特性×时点</w:t>
      </w:r>
      <w:r>
        <w:t xml:space="preserve">”</w:t>
      </w:r>
      <w:r>
        <w:t xml:space="preserve">矩阵式；用于核查作业执行情况的采用点检项勾选式；</w:t>
      </w:r>
    </w:p>
    <w:p>
      <w:pPr>
        <w:numPr>
          <w:ilvl w:val="0"/>
          <w:numId w:val="1003"/>
        </w:numPr>
        <w:pStyle w:val="Compact"/>
      </w:pPr>
      <w:r>
        <w:t xml:space="preserve">分类项目须遵循 MECE 原则：分类定义在表上以文字说明，同一缺陷只能归入一类；</w:t>
      </w:r>
    </w:p>
    <w:p>
      <w:pPr>
        <w:numPr>
          <w:ilvl w:val="0"/>
          <w:numId w:val="1003"/>
        </w:numPr>
        <w:pStyle w:val="Compact"/>
      </w:pPr>
      <w:r>
        <w:t xml:space="preserve">表中预置</w:t>
      </w:r>
      <w:r>
        <w:t xml:space="preserve">“</w:t>
      </w:r>
      <w:r>
        <w:t xml:space="preserve">合计</w:t>
      </w:r>
      <w:r>
        <w:t xml:space="preserve">”</w:t>
      </w:r>
      <w:r>
        <w:t xml:space="preserve">行与</w:t>
      </w:r>
      <w:r>
        <w:t xml:space="preserve">“</w:t>
      </w:r>
      <w:r>
        <w:t xml:space="preserve">合计</w:t>
      </w:r>
      <w:r>
        <w:t xml:space="preserve">”</w:t>
      </w:r>
      <w:r>
        <w:t xml:space="preserve">列，采集完成即出小计，避免事后二次汇总引入错误；</w:t>
      </w:r>
    </w:p>
    <w:p>
      <w:pPr>
        <w:numPr>
          <w:ilvl w:val="0"/>
          <w:numId w:val="1003"/>
        </w:numPr>
        <w:pStyle w:val="Compact"/>
      </w:pPr>
      <w:r>
        <w:t xml:space="preserve">表中应预留</w:t>
      </w:r>
      <w:r>
        <w:t xml:space="preserve">“</w:t>
      </w:r>
      <w:r>
        <w:t xml:space="preserve">异常说明</w:t>
      </w:r>
      <w:r>
        <w:t xml:space="preserve">”</w:t>
      </w:r>
      <w:r>
        <w:t xml:space="preserve">栏，用于记录抽样条件变化、设备停机、换料等可能影响判读的事件。</w:t>
      </w:r>
    </w:p>
    <w:p>
      <w:pPr>
        <w:pStyle w:val="FirstParagraph"/>
      </w:pPr>
      <w:r>
        <w:t xml:space="preserve">4.3.2</w:t>
      </w:r>
      <w:r>
        <w:t xml:space="preserve"> </w:t>
      </w:r>
      <w:r>
        <w:rPr>
          <w:b/>
        </w:rPr>
        <w:t xml:space="preserve">分层法</w:t>
      </w:r>
    </w:p>
    <w:p>
      <w:pPr>
        <w:numPr>
          <w:ilvl w:val="0"/>
          <w:numId w:val="1004"/>
        </w:numPr>
        <w:pStyle w:val="Compact"/>
      </w:pPr>
      <w:r>
        <w:t xml:space="preserve">分层维度一般按 5M1E 选取：人（班次、操作者、熟练度）、机（设备编号、机台、模具）、料（原料批次、供方）、法（工艺参数、程序版本）、测（量具、测量方法）、环（温湿度、车间）；</w:t>
      </w:r>
    </w:p>
    <w:p>
      <w:pPr>
        <w:numPr>
          <w:ilvl w:val="0"/>
          <w:numId w:val="1004"/>
        </w:numPr>
        <w:pStyle w:val="Compact"/>
      </w:pPr>
      <w:r>
        <w:t xml:space="preserve">柏拉图、直方图、控制图在分析前应确认是否已按可能的影响因素分层；未分层的分析结论不得直接用于确定措施；</w:t>
      </w:r>
    </w:p>
    <w:p>
      <w:pPr>
        <w:numPr>
          <w:ilvl w:val="0"/>
          <w:numId w:val="1004"/>
        </w:numPr>
        <w:pStyle w:val="Compact"/>
      </w:pPr>
      <w:r>
        <w:t xml:space="preserve">分层后每一层的样本量应满足基本统计要求，层内样本过少时（少于 25 个计量值或少于 5 个缺陷计数）只作线索提示，不作结论。</w:t>
      </w:r>
    </w:p>
    <w:p>
      <w:pPr>
        <w:pStyle w:val="FirstParagraph"/>
      </w:pPr>
      <w:r>
        <w:t xml:space="preserve">4.3.3</w:t>
      </w:r>
      <w:r>
        <w:t xml:space="preserve"> </w:t>
      </w:r>
      <w:r>
        <w:rPr>
          <w:b/>
        </w:rPr>
        <w:t xml:space="preserve">柏拉图</w:t>
      </w:r>
    </w:p>
    <w:p>
      <w:pPr>
        <w:numPr>
          <w:ilvl w:val="0"/>
          <w:numId w:val="1005"/>
        </w:numPr>
        <w:pStyle w:val="Compact"/>
      </w:pPr>
      <w:r>
        <w:t xml:space="preserve">适用计数型数据，按缺陷类型、缺陷部位、工序、原因等类别统计发生频次；</w:t>
      </w:r>
    </w:p>
    <w:p>
      <w:pPr>
        <w:numPr>
          <w:ilvl w:val="0"/>
          <w:numId w:val="1005"/>
        </w:numPr>
        <w:pStyle w:val="Compact"/>
      </w:pPr>
      <w:r>
        <w:t xml:space="preserve">类别按频次从大到小排列，其余低频类别合并为</w:t>
      </w:r>
      <w:r>
        <w:t xml:space="preserve">“</w:t>
      </w:r>
      <w:r>
        <w:t xml:space="preserve">其他</w:t>
      </w:r>
      <w:r>
        <w:t xml:space="preserve">”</w:t>
      </w:r>
      <w:r>
        <w:t xml:space="preserve">项置于最右；累计百分比曲线须标注刻度与关键点；</w:t>
      </w:r>
    </w:p>
    <w:p>
      <w:pPr>
        <w:numPr>
          <w:ilvl w:val="0"/>
          <w:numId w:val="1005"/>
        </w:numPr>
        <w:pStyle w:val="Compact"/>
      </w:pPr>
      <w:r>
        <w:t xml:space="preserve">判读准则：累计占比达到 70%～80% 的类别判为主要问题项，作为当期改进的重点；主要问题项不再新增分层（已足够聚合）；</w:t>
      </w:r>
    </w:p>
    <w:p>
      <w:pPr>
        <w:numPr>
          <w:ilvl w:val="0"/>
          <w:numId w:val="1005"/>
        </w:numPr>
        <w:pStyle w:val="Compact"/>
      </w:pPr>
      <w:r>
        <w:t xml:space="preserve">对主要问题项必须做二次分层（例如按机台、按班次再做一张柏拉图），否则无法定位原因；</w:t>
      </w:r>
    </w:p>
    <w:p>
      <w:pPr>
        <w:numPr>
          <w:ilvl w:val="0"/>
          <w:numId w:val="1005"/>
        </w:numPr>
        <w:pStyle w:val="Compact"/>
      </w:pPr>
      <w:r>
        <w:t xml:space="preserve">生产条件、产品型号发生较大变化时应重新制作，不得长期沿用同一张柏拉图。</w:t>
      </w:r>
    </w:p>
    <w:p>
      <w:pPr>
        <w:pStyle w:val="FirstParagraph"/>
      </w:pPr>
      <w:r>
        <w:t xml:space="preserve">4.3.4</w:t>
      </w:r>
      <w:r>
        <w:t xml:space="preserve"> </w:t>
      </w:r>
      <w:r>
        <w:rPr>
          <w:b/>
        </w:rPr>
        <w:t xml:space="preserve">直方图与分布形态判读</w:t>
      </w:r>
    </w:p>
    <w:p>
      <w:pPr>
        <w:numPr>
          <w:ilvl w:val="0"/>
          <w:numId w:val="1006"/>
        </w:numPr>
        <w:pStyle w:val="Compact"/>
      </w:pPr>
      <w:r>
        <w:t xml:space="preserve">适用计量型数据。组数按经验公式确定（组数≈样本量的平方根，一般取 7～12 组），组距取等距，规格上下限以参考线标注在图上；</w:t>
      </w:r>
    </w:p>
    <w:p>
      <w:pPr>
        <w:numPr>
          <w:ilvl w:val="0"/>
          <w:numId w:val="1006"/>
        </w:numPr>
        <w:pStyle w:val="Compact"/>
      </w:pPr>
      <w:r>
        <w:t xml:space="preserve">判读分两步：先看分布与规格限的相对位置（是否有散布在规格限之外、分布中心是否偏离规格中心），再看分布形态（是否近似正态、是否双峰、是否截尾）；</w:t>
      </w:r>
    </w:p>
    <w:p>
      <w:pPr>
        <w:numPr>
          <w:ilvl w:val="0"/>
          <w:numId w:val="1006"/>
        </w:numPr>
        <w:pStyle w:val="Compact"/>
      </w:pPr>
      <w:r>
        <w:t xml:space="preserve">出现双峰一般提示数据来自两个不同总体（如两台设备、两批原料混样）；出现截尾提示已对超出规格的产品进行了挑选或修整；出现孤岛提示存在异常测量值或混入了他人的数据；形态异常时须回到 4.3.2 分层重新分析；</w:t>
      </w:r>
    </w:p>
    <w:p>
      <w:pPr>
        <w:numPr>
          <w:ilvl w:val="0"/>
          <w:numId w:val="1006"/>
        </w:numPr>
        <w:pStyle w:val="Compact"/>
      </w:pPr>
      <w:r>
        <w:t xml:space="preserve">直方图不用于判定过程是否受控，稳定性判定一律使用控制图。</w:t>
      </w:r>
    </w:p>
    <w:p>
      <w:pPr>
        <w:pStyle w:val="FirstParagraph"/>
      </w:pPr>
      <w:r>
        <w:t xml:space="preserve">4.3.5</w:t>
      </w:r>
      <w:r>
        <w:t xml:space="preserve"> </w:t>
      </w:r>
      <w:r>
        <w:rPr>
          <w:b/>
        </w:rPr>
        <w:t xml:space="preserve">因果图与系统图</w:t>
      </w:r>
    </w:p>
    <w:p>
      <w:pPr>
        <w:numPr>
          <w:ilvl w:val="0"/>
          <w:numId w:val="1007"/>
        </w:numPr>
        <w:pStyle w:val="Compact"/>
      </w:pPr>
      <w:r>
        <w:t xml:space="preserve">因果图按 5M1E 六大分支展开，末端原因须是</w:t>
      </w:r>
      <w:r>
        <w:t xml:space="preserve">“</w:t>
      </w:r>
      <w:r>
        <w:t xml:space="preserve">可采取措施的具体事项</w:t>
      </w:r>
      <w:r>
        <w:t xml:space="preserve">”</w:t>
      </w:r>
      <w:r>
        <w:t xml:space="preserve">，写</w:t>
      </w:r>
      <w:r>
        <w:t xml:space="preserve">“</w:t>
      </w:r>
      <w:r>
        <w:t xml:space="preserve">人员意识不足</w:t>
      </w:r>
      <w:r>
        <w:t xml:space="preserve">”</w:t>
      </w:r>
      <w:r>
        <w:t xml:space="preserve">“</w:t>
      </w:r>
      <w:r>
        <w:t xml:space="preserve">管理不到位</w:t>
      </w:r>
      <w:r>
        <w:t xml:space="preserve">”</w:t>
      </w:r>
      <w:r>
        <w:t xml:space="preserve">一类表述视为无效原因；</w:t>
      </w:r>
    </w:p>
    <w:p>
      <w:pPr>
        <w:numPr>
          <w:ilvl w:val="0"/>
          <w:numId w:val="1007"/>
        </w:numPr>
        <w:pStyle w:val="Compact"/>
      </w:pPr>
      <w:r>
        <w:t xml:space="preserve">原因确定采用</w:t>
      </w:r>
      <w:r>
        <w:t xml:space="preserve">“</w:t>
      </w:r>
      <w:r>
        <w:t xml:space="preserve">现场验证＋数据验证</w:t>
      </w:r>
      <w:r>
        <w:t xml:space="preserve">”</w:t>
      </w:r>
      <w:r>
        <w:t xml:space="preserve">两条取证路径：能在现场观察到的现场确认，能取数的取数验证（如用散点图验证参数与结果的关联）；未经验证的推断只能列为</w:t>
      </w:r>
      <w:r>
        <w:t xml:space="preserve">“</w:t>
      </w:r>
      <w:r>
        <w:t xml:space="preserve">待验证的假设</w:t>
      </w:r>
      <w:r>
        <w:t xml:space="preserve">”</w:t>
      </w:r>
      <w:r>
        <w:t xml:space="preserve">，不得直接写入措施；</w:t>
      </w:r>
    </w:p>
    <w:p>
      <w:pPr>
        <w:numPr>
          <w:ilvl w:val="0"/>
          <w:numId w:val="1007"/>
        </w:numPr>
        <w:pStyle w:val="Compact"/>
      </w:pPr>
      <w:r>
        <w:t xml:space="preserve">原因较多且层次复杂时改用系统图（树图），自左向右逐层分解到可执行措施，并标注责任部门与完成时间；</w:t>
      </w:r>
    </w:p>
    <w:p>
      <w:pPr>
        <w:numPr>
          <w:ilvl w:val="0"/>
          <w:numId w:val="1007"/>
        </w:numPr>
        <w:pStyle w:val="Compact"/>
      </w:pPr>
      <w:r>
        <w:t xml:space="preserve">因果图应注明分析日期、参与人员、对应的问题陈述，并与柏拉图的重点问题项一一对应。</w:t>
      </w:r>
    </w:p>
    <w:p>
      <w:pPr>
        <w:pStyle w:val="FirstParagraph"/>
      </w:pPr>
      <w:r>
        <w:t xml:space="preserve">4.3.6</w:t>
      </w:r>
      <w:r>
        <w:t xml:space="preserve"> </w:t>
      </w:r>
      <w:r>
        <w:rPr>
          <w:b/>
        </w:rPr>
        <w:t xml:space="preserve">散点图与相关分析</w:t>
      </w:r>
    </w:p>
    <w:p>
      <w:pPr>
        <w:numPr>
          <w:ilvl w:val="0"/>
          <w:numId w:val="1008"/>
        </w:numPr>
        <w:pStyle w:val="Compact"/>
      </w:pPr>
      <w:r>
        <w:t xml:space="preserve">适用两个计量型变量的关系判定，如工艺参数与特性值、环境温度与测量偏差、原料指标与成品指标；</w:t>
      </w:r>
    </w:p>
    <w:p>
      <w:pPr>
        <w:numPr>
          <w:ilvl w:val="0"/>
          <w:numId w:val="1008"/>
        </w:numPr>
        <w:pStyle w:val="Compact"/>
      </w:pPr>
      <w:r>
        <w:t xml:space="preserve">样本量一般不少于 30 对；散点图上须标注变量名称、单位与取样条件；</w:t>
      </w:r>
    </w:p>
    <w:p>
      <w:pPr>
        <w:numPr>
          <w:ilvl w:val="0"/>
          <w:numId w:val="1008"/>
        </w:numPr>
        <w:pStyle w:val="Compact"/>
      </w:pPr>
      <w:r>
        <w:t xml:space="preserve">判读按形态定性（正相关、负相关、无相关、非线性）与数值定量（相关系数 r）两步；r 在 0.7～1.0 或 -0.7～-1.0 视为强相关，0.3～0.7 视为中等相关，低于 0.3 视为相关性弱；相关系数须与样本量一并判读，样本量小时即使 r 较大也不得直接判定因果；</w:t>
      </w:r>
    </w:p>
    <w:p>
      <w:pPr>
        <w:numPr>
          <w:ilvl w:val="0"/>
          <w:numId w:val="1008"/>
        </w:numPr>
        <w:pStyle w:val="Compact"/>
      </w:pPr>
      <w:r>
        <w:rPr>
          <w:b/>
        </w:rPr>
        <w:t xml:space="preserve">相关不等于因果</w:t>
      </w:r>
      <w:r>
        <w:t xml:space="preserve">：以相关性支撑原因判定时，应具备技术合理性解释，或通过调整参数后重测验证；不得仅凭一张散点图修改工艺参数或规格要求。</w:t>
      </w:r>
    </w:p>
    <w:p>
      <w:pPr>
        <w:pStyle w:val="FirstParagraph"/>
      </w:pPr>
      <w:r>
        <w:t xml:space="preserve">4.3.7</w:t>
      </w:r>
      <w:r>
        <w:t xml:space="preserve"> </w:t>
      </w:r>
      <w:r>
        <w:rPr>
          <w:b/>
        </w:rPr>
        <w:t xml:space="preserve">控制图选用与判异</w:t>
      </w:r>
    </w:p>
    <w:p>
      <w:pPr>
        <w:pStyle w:val="BodyText"/>
      </w:pPr>
      <w:r>
        <w:t xml:space="preserve">4.3.7.1 控制图按数据类型选用：</w:t>
      </w:r>
    </w:p>
    <w:tbl>
      <w:tblPr>
        <w:tblStyle w:val="Table"/>
        <w:tblW w:type="pct" w:w="0.0"/>
        <w:tblLook w:firstRow="1"/>
      </w:tblPr>
      <w:tblGrid/>
      <w:tr>
        <w:trPr>
          <w:cnfStyle w:firstRow="1"/>
        </w:trPr>
        <w:tc>
          <w:tcPr>
            <w:tcBorders>
              <w:bottom w:val="single"/>
            </w:tcBorders>
            <w:vAlign w:val="bottom"/>
          </w:tcPr>
          <w:p>
            <w:pPr>
              <w:pStyle w:val="Compact"/>
              <w:jc w:val="left"/>
            </w:pPr>
            <w:r>
              <w:t xml:space="preserve">数据类型</w:t>
            </w:r>
          </w:p>
        </w:tc>
        <w:tc>
          <w:tcPr>
            <w:tcBorders>
              <w:bottom w:val="single"/>
            </w:tcBorders>
            <w:vAlign w:val="bottom"/>
          </w:tcPr>
          <w:p>
            <w:pPr>
              <w:pStyle w:val="Compact"/>
              <w:jc w:val="left"/>
            </w:pPr>
            <w:r>
              <w:t xml:space="preserve">子组情况</w:t>
            </w:r>
          </w:p>
        </w:tc>
        <w:tc>
          <w:tcPr>
            <w:tcBorders>
              <w:bottom w:val="single"/>
            </w:tcBorders>
            <w:vAlign w:val="bottom"/>
          </w:tcPr>
          <w:p>
            <w:pPr>
              <w:pStyle w:val="Compact"/>
              <w:jc w:val="left"/>
            </w:pPr>
            <w:r>
              <w:t xml:space="preserve">选用图种</w:t>
            </w:r>
          </w:p>
        </w:tc>
        <w:tc>
          <w:tcPr>
            <w:tcBorders>
              <w:bottom w:val="single"/>
            </w:tcBorders>
            <w:vAlign w:val="bottom"/>
          </w:tcPr>
          <w:p>
            <w:pPr>
              <w:pStyle w:val="Compact"/>
              <w:jc w:val="left"/>
            </w:pPr>
            <w:r>
              <w:t xml:space="preserve">备注</w:t>
            </w:r>
          </w:p>
        </w:tc>
      </w:tr>
      <w:tr>
        <w:tc>
          <w:p>
            <w:pPr>
              <w:pStyle w:val="Compact"/>
              <w:jc w:val="left"/>
            </w:pPr>
            <w:r>
              <w:t xml:space="preserve">计量型</w:t>
            </w:r>
          </w:p>
        </w:tc>
        <w:tc>
          <w:p>
            <w:pPr>
              <w:pStyle w:val="Compact"/>
              <w:jc w:val="left"/>
            </w:pPr>
            <w:r>
              <w:t xml:space="preserve">固定子组，n=2～5</w:t>
            </w:r>
          </w:p>
        </w:tc>
        <w:tc>
          <w:p>
            <w:pPr>
              <w:pStyle w:val="Compact"/>
              <w:jc w:val="left"/>
            </w:pPr>
            <w:r>
              <w:t xml:space="preserve">X̄-R 图</w:t>
            </w:r>
          </w:p>
        </w:tc>
        <w:tc>
          <w:p>
            <w:pPr>
              <w:pStyle w:val="Compact"/>
              <w:jc w:val="left"/>
            </w:pPr>
            <w:r>
              <w:t xml:space="preserve">最常用；先看 R 图再看 X̄ 图</w:t>
            </w:r>
          </w:p>
        </w:tc>
      </w:tr>
      <w:tr>
        <w:tc>
          <w:p>
            <w:pPr>
              <w:pStyle w:val="Compact"/>
              <w:jc w:val="left"/>
            </w:pPr>
            <w:r>
              <w:t xml:space="preserve">计量型</w:t>
            </w:r>
          </w:p>
        </w:tc>
        <w:tc>
          <w:p>
            <w:pPr>
              <w:pStyle w:val="Compact"/>
              <w:jc w:val="left"/>
            </w:pPr>
            <w:r>
              <w:t xml:space="preserve">固定子组，n≥6 或 子组内波动大</w:t>
            </w:r>
          </w:p>
        </w:tc>
        <w:tc>
          <w:p>
            <w:pPr>
              <w:pStyle w:val="Compact"/>
              <w:jc w:val="left"/>
            </w:pPr>
            <w:r>
              <w:t xml:space="preserve">X̄-s 图</w:t>
            </w:r>
          </w:p>
        </w:tc>
        <w:tc>
          <w:p>
            <w:pPr>
              <w:pStyle w:val="Compact"/>
              <w:jc w:val="left"/>
            </w:pPr>
            <w:r>
              <w:t xml:space="preserve">用标准差代替极差</w:t>
            </w:r>
          </w:p>
        </w:tc>
      </w:tr>
      <w:tr>
        <w:tc>
          <w:p>
            <w:pPr>
              <w:pStyle w:val="Compact"/>
              <w:jc w:val="left"/>
            </w:pPr>
            <w:r>
              <w:t xml:space="preserve">计量型</w:t>
            </w:r>
          </w:p>
        </w:tc>
        <w:tc>
          <w:p>
            <w:pPr>
              <w:pStyle w:val="Compact"/>
              <w:jc w:val="left"/>
            </w:pPr>
            <w:r>
              <w:t xml:space="preserve">n=1（单件、慢速、破坏性）</w:t>
            </w:r>
          </w:p>
        </w:tc>
        <w:tc>
          <w:p>
            <w:pPr>
              <w:pStyle w:val="Compact"/>
              <w:jc w:val="left"/>
            </w:pPr>
            <w:r>
              <w:t xml:space="preserve">I-MR 图（单值-移动极差）</w:t>
            </w:r>
          </w:p>
        </w:tc>
        <w:tc>
          <w:p>
            <w:pPr>
              <w:pStyle w:val="Compact"/>
              <w:jc w:val="left"/>
            </w:pPr>
            <w:r>
              <w:t xml:space="preserve">移动极差取相邻两点差分</w:t>
            </w:r>
          </w:p>
        </w:tc>
      </w:tr>
      <w:tr>
        <w:tc>
          <w:p>
            <w:pPr>
              <w:pStyle w:val="Compact"/>
              <w:jc w:val="left"/>
            </w:pPr>
            <w:r>
              <w:t xml:space="preserve">计数型</w:t>
            </w:r>
          </w:p>
        </w:tc>
        <w:tc>
          <w:p>
            <w:pPr>
              <w:pStyle w:val="Compact"/>
              <w:jc w:val="left"/>
            </w:pPr>
            <w:r>
              <w:t xml:space="preserve">不合格品率，样本量可变</w:t>
            </w:r>
          </w:p>
        </w:tc>
        <w:tc>
          <w:p>
            <w:pPr>
              <w:pStyle w:val="Compact"/>
              <w:jc w:val="left"/>
            </w:pPr>
            <w:r>
              <w:t xml:space="preserve">p 图</w:t>
            </w:r>
          </w:p>
        </w:tc>
        <w:tc>
          <w:p>
            <w:pPr>
              <w:pStyle w:val="Compact"/>
              <w:jc w:val="left"/>
            </w:pPr>
            <w:r>
              <w:t xml:space="preserve">控制限随样本量变化</w:t>
            </w:r>
          </w:p>
        </w:tc>
      </w:tr>
      <w:tr>
        <w:tc>
          <w:p>
            <w:pPr>
              <w:pStyle w:val="Compact"/>
              <w:jc w:val="left"/>
            </w:pPr>
            <w:r>
              <w:t xml:space="preserve">计数型</w:t>
            </w:r>
          </w:p>
        </w:tc>
        <w:tc>
          <w:p>
            <w:pPr>
              <w:pStyle w:val="Compact"/>
              <w:jc w:val="left"/>
            </w:pPr>
            <w:r>
              <w:t xml:space="preserve">不合格品数，样本量固定</w:t>
            </w:r>
          </w:p>
        </w:tc>
        <w:tc>
          <w:p>
            <w:pPr>
              <w:pStyle w:val="Compact"/>
              <w:jc w:val="left"/>
            </w:pPr>
            <w:r>
              <w:t xml:space="preserve">np 图</w:t>
            </w:r>
          </w:p>
        </w:tc>
        <w:tc>
          <w:p>
            <w:pPr>
              <w:pStyle w:val="Compact"/>
              <w:jc w:val="left"/>
            </w:pPr>
            <w:r>
              <w:t xml:space="preserve">样本量须固定</w:t>
            </w:r>
          </w:p>
        </w:tc>
      </w:tr>
      <w:tr>
        <w:tc>
          <w:p>
            <w:pPr>
              <w:pStyle w:val="Compact"/>
              <w:jc w:val="left"/>
            </w:pPr>
            <w:r>
              <w:t xml:space="preserve">计数型</w:t>
            </w:r>
          </w:p>
        </w:tc>
        <w:tc>
          <w:p>
            <w:pPr>
              <w:pStyle w:val="Compact"/>
              <w:jc w:val="left"/>
            </w:pPr>
            <w:r>
              <w:t xml:space="preserve">单位产品的缺陷数，检验单位固定</w:t>
            </w:r>
          </w:p>
        </w:tc>
        <w:tc>
          <w:p>
            <w:pPr>
              <w:pStyle w:val="Compact"/>
              <w:jc w:val="left"/>
            </w:pPr>
            <w:r>
              <w:t xml:space="preserve">c 图</w:t>
            </w:r>
          </w:p>
        </w:tc>
        <w:tc>
          <w:p>
            <w:pPr>
              <w:pStyle w:val="Compact"/>
              <w:jc w:val="left"/>
            </w:pPr>
            <w:r>
              <w:t xml:space="preserve">如每台产品的缺陷总数</w:t>
            </w:r>
          </w:p>
        </w:tc>
      </w:tr>
      <w:tr>
        <w:tc>
          <w:p>
            <w:pPr>
              <w:pStyle w:val="Compact"/>
              <w:jc w:val="left"/>
            </w:pPr>
            <w:r>
              <w:t xml:space="preserve">计数型</w:t>
            </w:r>
          </w:p>
        </w:tc>
        <w:tc>
          <w:p>
            <w:pPr>
              <w:pStyle w:val="Compact"/>
              <w:jc w:val="left"/>
            </w:pPr>
            <w:r>
              <w:t xml:space="preserve">单位产品的缺陷数，检验单位可变</w:t>
            </w:r>
          </w:p>
        </w:tc>
        <w:tc>
          <w:p>
            <w:pPr>
              <w:pStyle w:val="Compact"/>
              <w:jc w:val="left"/>
            </w:pPr>
            <w:r>
              <w:t xml:space="preserve">u 图</w:t>
            </w:r>
          </w:p>
        </w:tc>
        <w:tc>
          <w:p>
            <w:pPr>
              <w:pStyle w:val="Compact"/>
              <w:jc w:val="left"/>
            </w:pPr>
            <w:r>
              <w:t xml:space="preserve">如每米、每平方米的缺陷数</w:t>
            </w:r>
          </w:p>
        </w:tc>
      </w:tr>
    </w:tbl>
    <w:p>
      <w:pPr>
        <w:pStyle w:val="BodyText"/>
      </w:pPr>
      <w:r>
        <w:t xml:space="preserve">4.3.7.2 控制限必须由数据计算得出，不得凭经验或顾客要求自行设定；在过程未受控、条件发生重大变化（新设备、新工艺、新材料、换模具）时，控制限须重新计算，并在《控制图应用记录》中注明重新计算的原因与时间。</w:t>
      </w:r>
    </w:p>
    <w:p>
      <w:pPr>
        <w:pStyle w:val="BodyText"/>
      </w:pPr>
      <w:r>
        <w:t xml:space="preserve">4.3.7.3 控制限（UCL／LCL）与规格限（USL／LSL）不得混用：控制限来自过程自身波动，规格限来自产品要求，把规格限画在控制图上并据此判异，是工具应用中最常见的原理性错误。</w:t>
      </w:r>
    </w:p>
    <w:p>
      <w:pPr>
        <w:pStyle w:val="BodyText"/>
      </w:pPr>
      <w:r>
        <w:t xml:space="preserve">4.3.7.4 判异准则应在文件中预先约定并固定使用，一般至少采用下列四条：</w:t>
      </w:r>
    </w:p>
    <w:tbl>
      <w:tblPr>
        <w:tblStyle w:val="Table"/>
        <w:tblW w:type="pct" w:w="0.0"/>
        <w:tblLook w:firstRow="1"/>
      </w:tblPr>
      <w:tblGrid/>
      <w:tr>
        <w:trPr>
          <w:cnfStyle w:firstRow="1"/>
        </w:trPr>
        <w:tc>
          <w:tcPr>
            <w:tcBorders>
              <w:bottom w:val="single"/>
            </w:tcBorders>
            <w:vAlign w:val="bottom"/>
          </w:tcPr>
          <w:p>
            <w:pPr>
              <w:pStyle w:val="Compact"/>
              <w:jc w:val="left"/>
            </w:pPr>
            <w:r>
              <w:t xml:space="preserve">序号</w:t>
            </w:r>
          </w:p>
        </w:tc>
        <w:tc>
          <w:tcPr>
            <w:tcBorders>
              <w:bottom w:val="single"/>
            </w:tcBorders>
            <w:vAlign w:val="bottom"/>
          </w:tcPr>
          <w:p>
            <w:pPr>
              <w:pStyle w:val="Compact"/>
              <w:jc w:val="left"/>
            </w:pPr>
            <w:r>
              <w:t xml:space="preserve">判异准则</w:t>
            </w:r>
          </w:p>
        </w:tc>
        <w:tc>
          <w:tcPr>
            <w:tcBorders>
              <w:bottom w:val="single"/>
            </w:tcBorders>
            <w:vAlign w:val="bottom"/>
          </w:tcPr>
          <w:p>
            <w:pPr>
              <w:pStyle w:val="Compact"/>
              <w:jc w:val="left"/>
            </w:pPr>
            <w:r>
              <w:t xml:space="preserve">含义</w:t>
            </w:r>
          </w:p>
        </w:tc>
      </w:tr>
      <w:tr>
        <w:tc>
          <w:p>
            <w:pPr>
              <w:pStyle w:val="Compact"/>
              <w:jc w:val="left"/>
            </w:pPr>
            <w:r>
              <w:t xml:space="preserve">1</w:t>
            </w:r>
          </w:p>
        </w:tc>
        <w:tc>
          <w:p>
            <w:pPr>
              <w:pStyle w:val="Compact"/>
              <w:jc w:val="left"/>
            </w:pPr>
            <w:r>
              <w:t xml:space="preserve">1 点落在 A 区之外（超出控制限）</w:t>
            </w:r>
          </w:p>
        </w:tc>
        <w:tc>
          <w:p>
            <w:pPr>
              <w:pStyle w:val="Compact"/>
              <w:jc w:val="left"/>
            </w:pPr>
            <w:r>
              <w:t xml:space="preserve">存在特殊原因，立即处置</w:t>
            </w:r>
          </w:p>
        </w:tc>
      </w:tr>
      <w:tr>
        <w:tc>
          <w:p>
            <w:pPr>
              <w:pStyle w:val="Compact"/>
              <w:jc w:val="left"/>
            </w:pPr>
            <w:r>
              <w:t xml:space="preserve">2</w:t>
            </w:r>
          </w:p>
        </w:tc>
        <w:tc>
          <w:p>
            <w:pPr>
              <w:pStyle w:val="Compact"/>
              <w:jc w:val="left"/>
            </w:pPr>
            <w:r>
              <w:t xml:space="preserve">连续 9 点落在中心线同一侧</w:t>
            </w:r>
          </w:p>
        </w:tc>
        <w:tc>
          <w:p>
            <w:pPr>
              <w:pStyle w:val="Compact"/>
              <w:jc w:val="left"/>
            </w:pPr>
            <w:r>
              <w:t xml:space="preserve">过程中心发生偏移</w:t>
            </w:r>
          </w:p>
        </w:tc>
      </w:tr>
      <w:tr>
        <w:tc>
          <w:p>
            <w:pPr>
              <w:pStyle w:val="Compact"/>
              <w:jc w:val="left"/>
            </w:pPr>
            <w:r>
              <w:t xml:space="preserve">3</w:t>
            </w:r>
          </w:p>
        </w:tc>
        <w:tc>
          <w:p>
            <w:pPr>
              <w:pStyle w:val="Compact"/>
              <w:jc w:val="left"/>
            </w:pPr>
            <w:r>
              <w:t xml:space="preserve">连续 6 点递增或递减</w:t>
            </w:r>
          </w:p>
        </w:tc>
        <w:tc>
          <w:p>
            <w:pPr>
              <w:pStyle w:val="Compact"/>
              <w:jc w:val="left"/>
            </w:pPr>
            <w:r>
              <w:t xml:space="preserve">存在趋势性变化（如刀具磨损、温度漂移）</w:t>
            </w:r>
          </w:p>
        </w:tc>
      </w:tr>
      <w:tr>
        <w:tc>
          <w:p>
            <w:pPr>
              <w:pStyle w:val="Compact"/>
              <w:jc w:val="left"/>
            </w:pPr>
            <w:r>
              <w:t xml:space="preserve">4</w:t>
            </w:r>
          </w:p>
        </w:tc>
        <w:tc>
          <w:p>
            <w:pPr>
              <w:pStyle w:val="Compact"/>
              <w:jc w:val="left"/>
            </w:pPr>
            <w:r>
              <w:t xml:space="preserve">连续 14 点上下交替</w:t>
            </w:r>
          </w:p>
        </w:tc>
        <w:tc>
          <w:p>
            <w:pPr>
              <w:pStyle w:val="Compact"/>
              <w:jc w:val="left"/>
            </w:pPr>
            <w:r>
              <w:t xml:space="preserve">存在系统性交替因素（如两台设备、两个班组轮流）</w:t>
            </w:r>
          </w:p>
        </w:tc>
      </w:tr>
    </w:tbl>
    <w:p>
      <w:pPr>
        <w:pStyle w:val="BodyText"/>
      </w:pPr>
      <w:r>
        <w:t xml:space="preserve">4.3.7.5 出现判异信号时，现场应按下列顺序处置并记录：一是立即复核数据与测量过程（排除记录错误、量具失准、错读）；二是确认异常后标示受影响的产品范围，按《不合格品控制程序》（QP-22）隔离与评审；三是就地在现场排查特殊原因（换料、参数调整、人员更换、设备异常）；四是原因明确且可即时消除的现场消除并重新取数验证；五是原因不明或属系统性问题的按《纠正措施实施与验证作业指导书》（WI-QA-45）立案；六是在控制图上标注异常点、原因与处置措施，保持图面与现场记录一致。</w:t>
      </w:r>
    </w:p>
    <w:p>
      <w:pPr>
        <w:pStyle w:val="BodyText"/>
      </w:pPr>
      <w:r>
        <w:t xml:space="preserve">4.3.7.6 严禁</w:t>
      </w:r>
      <w:r>
        <w:t xml:space="preserve">“</w:t>
      </w:r>
      <w:r>
        <w:t xml:space="preserve">报而不响</w:t>
      </w:r>
      <w:r>
        <w:t xml:space="preserve">”</w:t>
      </w:r>
      <w:r>
        <w:t xml:space="preserve">：出现判异信号后只在图上打标记、不排查、不记录处置结果的，属工具应用无效，质量部在复核时应开具观察项或不符合项。</w:t>
      </w:r>
    </w:p>
    <w:p>
      <w:pPr>
        <w:pStyle w:val="BodyText"/>
      </w:pPr>
      <w:r>
        <w:t xml:space="preserve">4.3.8</w:t>
      </w:r>
      <w:r>
        <w:t xml:space="preserve"> </w:t>
      </w:r>
      <w:r>
        <w:rPr>
          <w:b/>
        </w:rPr>
        <w:t xml:space="preserve">过程能力分析</w:t>
      </w:r>
    </w:p>
    <w:p>
      <w:pPr>
        <w:pStyle w:val="BodyText"/>
      </w:pPr>
      <w:r>
        <w:t xml:space="preserve">4.3.8.1 过程能力分析必须满足四个前提，缺一不可：过程处于统计受控状态；数据近似正态（非正态数据须先做变换或改用专门方法，如对数变换、Box-Cox 变换或非正态能力分析）；测量系统 GRR 合格；抽样覆盖过程实际波动范围。</w:t>
      </w:r>
    </w:p>
    <w:p>
      <w:pPr>
        <w:pStyle w:val="BodyText"/>
      </w:pPr>
      <w:r>
        <w:t xml:space="preserve">4.3.8.2 指数计算口径：Cp 与 Cpk 使用组内波动（短期，σ 由 R̄/d₂ 或 s̄/c₄ 估计），Pp 与 Ppk 使用整体波动（长期，σ 由全部数据的标准差估计）。同一份报告中不得混用两种口径，须在报告上注明所用公式与 σ 估计方法。</w:t>
      </w:r>
    </w:p>
    <w:p>
      <w:pPr>
        <w:pStyle w:val="BodyText"/>
      </w:pPr>
      <w:r>
        <w:t xml:space="preserve">4.3.8.3 判定准则（顾客有更严要求时从其约定）：</w:t>
      </w:r>
    </w:p>
    <w:tbl>
      <w:tblPr>
        <w:tblStyle w:val="Table"/>
        <w:tblW w:type="pct" w:w="0.0"/>
        <w:tblLook w:firstRow="1"/>
      </w:tblPr>
      <w:tblGrid/>
      <w:tr>
        <w:trPr>
          <w:cnfStyle w:firstRow="1"/>
        </w:trPr>
        <w:tc>
          <w:tcPr>
            <w:tcBorders>
              <w:bottom w:val="single"/>
            </w:tcBorders>
            <w:vAlign w:val="bottom"/>
          </w:tcPr>
          <w:p>
            <w:pPr>
              <w:pStyle w:val="Compact"/>
              <w:jc w:val="left"/>
            </w:pPr>
            <w:r>
              <w:t xml:space="preserve">等级</w:t>
            </w:r>
          </w:p>
        </w:tc>
        <w:tc>
          <w:tcPr>
            <w:tcBorders>
              <w:bottom w:val="single"/>
            </w:tcBorders>
            <w:vAlign w:val="bottom"/>
          </w:tcPr>
          <w:p>
            <w:pPr>
              <w:pStyle w:val="Compact"/>
              <w:jc w:val="left"/>
            </w:pPr>
            <w:r>
              <w:t xml:space="preserve">Cpk（Ppk）值</w:t>
            </w:r>
          </w:p>
        </w:tc>
        <w:tc>
          <w:tcPr>
            <w:tcBorders>
              <w:bottom w:val="single"/>
            </w:tcBorders>
            <w:vAlign w:val="bottom"/>
          </w:tcPr>
          <w:p>
            <w:pPr>
              <w:pStyle w:val="Compact"/>
              <w:jc w:val="left"/>
            </w:pPr>
            <w:r>
              <w:t xml:space="preserve">判定</w:t>
            </w:r>
          </w:p>
        </w:tc>
        <w:tc>
          <w:tcPr>
            <w:tcBorders>
              <w:bottom w:val="single"/>
            </w:tcBorders>
            <w:vAlign w:val="bottom"/>
          </w:tcPr>
          <w:p>
            <w:pPr>
              <w:pStyle w:val="Compact"/>
              <w:jc w:val="left"/>
            </w:pPr>
            <w:r>
              <w:t xml:space="preserve">处置要求</w:t>
            </w:r>
          </w:p>
        </w:tc>
      </w:tr>
      <w:tr>
        <w:tc>
          <w:p>
            <w:pPr>
              <w:pStyle w:val="Compact"/>
              <w:jc w:val="left"/>
            </w:pPr>
            <w:r>
              <w:t xml:space="preserve">A</w:t>
            </w:r>
          </w:p>
        </w:tc>
        <w:tc>
          <w:p>
            <w:pPr>
              <w:pStyle w:val="Compact"/>
              <w:jc w:val="left"/>
            </w:pPr>
            <w:r>
              <w:t xml:space="preserve">≥1.67</w:t>
            </w:r>
          </w:p>
        </w:tc>
        <w:tc>
          <w:p>
            <w:pPr>
              <w:pStyle w:val="Compact"/>
              <w:jc w:val="left"/>
            </w:pPr>
            <w:r>
              <w:t xml:space="preserve">能力充足</w:t>
            </w:r>
          </w:p>
        </w:tc>
        <w:tc>
          <w:p>
            <w:pPr>
              <w:pStyle w:val="Compact"/>
              <w:jc w:val="left"/>
            </w:pPr>
            <w:r>
              <w:t xml:space="preserve">维持受控，可适度放宽检验频次</w:t>
            </w:r>
          </w:p>
        </w:tc>
      </w:tr>
      <w:tr>
        <w:tc>
          <w:p>
            <w:pPr>
              <w:pStyle w:val="Compact"/>
              <w:jc w:val="left"/>
            </w:pPr>
            <w:r>
              <w:t xml:space="preserve">B</w:t>
            </w:r>
          </w:p>
        </w:tc>
        <w:tc>
          <w:p>
            <w:pPr>
              <w:pStyle w:val="Compact"/>
              <w:jc w:val="left"/>
            </w:pPr>
            <w:r>
              <w:t xml:space="preserve">1.33～1.67</w:t>
            </w:r>
          </w:p>
        </w:tc>
        <w:tc>
          <w:p>
            <w:pPr>
              <w:pStyle w:val="Compact"/>
              <w:jc w:val="left"/>
            </w:pPr>
            <w:r>
              <w:t xml:space="preserve">能力可接受</w:t>
            </w:r>
          </w:p>
        </w:tc>
        <w:tc>
          <w:p>
            <w:pPr>
              <w:pStyle w:val="Compact"/>
              <w:jc w:val="left"/>
            </w:pPr>
            <w:r>
              <w:t xml:space="preserve">保持控制，关注趋势</w:t>
            </w:r>
          </w:p>
        </w:tc>
      </w:tr>
      <w:tr>
        <w:tc>
          <w:p>
            <w:pPr>
              <w:pStyle w:val="Compact"/>
              <w:jc w:val="left"/>
            </w:pPr>
            <w:r>
              <w:t xml:space="preserve">C</w:t>
            </w:r>
          </w:p>
        </w:tc>
        <w:tc>
          <w:p>
            <w:pPr>
              <w:pStyle w:val="Compact"/>
              <w:jc w:val="left"/>
            </w:pPr>
            <w:r>
              <w:t xml:space="preserve">1.00～1.33</w:t>
            </w:r>
          </w:p>
        </w:tc>
        <w:tc>
          <w:p>
            <w:pPr>
              <w:pStyle w:val="Compact"/>
              <w:jc w:val="left"/>
            </w:pPr>
            <w:r>
              <w:t xml:space="preserve">能力偏低</w:t>
            </w:r>
          </w:p>
        </w:tc>
        <w:tc>
          <w:p>
            <w:pPr>
              <w:pStyle w:val="Compact"/>
              <w:jc w:val="left"/>
            </w:pPr>
            <w:r>
              <w:t xml:space="preserve">须制定改进计划，加严监控与检验</w:t>
            </w:r>
          </w:p>
        </w:tc>
      </w:tr>
      <w:tr>
        <w:tc>
          <w:p>
            <w:pPr>
              <w:pStyle w:val="Compact"/>
              <w:jc w:val="left"/>
            </w:pPr>
            <w:r>
              <w:t xml:space="preserve">D</w:t>
            </w:r>
          </w:p>
        </w:tc>
        <w:tc>
          <w:p>
            <w:pPr>
              <w:pStyle w:val="Compact"/>
              <w:jc w:val="left"/>
            </w:pPr>
            <w:r>
              <w:t xml:space="preserve">&lt;1.00</w:t>
            </w:r>
          </w:p>
        </w:tc>
        <w:tc>
          <w:p>
            <w:pPr>
              <w:pStyle w:val="Compact"/>
              <w:jc w:val="left"/>
            </w:pPr>
            <w:r>
              <w:t xml:space="preserve">能力不足</w:t>
            </w:r>
          </w:p>
        </w:tc>
        <w:tc>
          <w:p>
            <w:pPr>
              <w:pStyle w:val="Compact"/>
              <w:jc w:val="left"/>
            </w:pPr>
            <w:r>
              <w:t xml:space="preserve">立即处置：全检或改进工艺，必要时修订规格或与顾客沟通</w:t>
            </w:r>
          </w:p>
        </w:tc>
      </w:tr>
    </w:tbl>
    <w:p>
      <w:pPr>
        <w:pStyle w:val="BodyText"/>
      </w:pPr>
      <w:r>
        <w:t xml:space="preserve">4.3.8.4 Cpk 低于判定要求时的处置方向应在文件中固化，避免</w:t>
      </w:r>
      <w:r>
        <w:t xml:space="preserve">“</w:t>
      </w:r>
      <w:r>
        <w:t xml:space="preserve">只报数不处置</w:t>
      </w:r>
      <w:r>
        <w:t xml:space="preserve">”</w:t>
      </w:r>
      <w:r>
        <w:t xml:space="preserve">：优先提高过程中心对准规格中心的程度（调整参数、修正工装），其次降低波动（设备精度、工艺稳定性），再次放宽检验与全检作为过渡措施，最后才是与顾客沟通规格合理性；修订规格限必须经设计和开发部门按变更程序审批，不得由生产或质量部门自行放宽。</w:t>
      </w:r>
    </w:p>
    <w:p>
      <w:pPr>
        <w:pStyle w:val="BodyText"/>
      </w:pPr>
      <w:r>
        <w:t xml:space="preserve">4.3.8.5 过程能力分析应周期性重做：正常情况每半年至少一次；发生工艺变更、设备大修、关键工序人员更替、连续两个月不良率上升时随即重做。</w:t>
      </w:r>
    </w:p>
    <w:p>
      <w:pPr>
        <w:pStyle w:val="Heading3"/>
      </w:pPr>
      <w:bookmarkStart w:id="28" w:name="结论到措施的接口"/>
      <w:r>
        <w:t xml:space="preserve">4.4 结论到措施的接口</w:t>
      </w:r>
      <w:bookmarkEnd w:id="28"/>
    </w:p>
    <w:p>
      <w:pPr>
        <w:pStyle w:val="FirstParagraph"/>
      </w:pPr>
      <w:r>
        <w:t xml:space="preserve">4.4.1 每一项统计工具应用都必须输出</w:t>
      </w:r>
      <w:r>
        <w:t xml:space="preserve">“</w:t>
      </w:r>
      <w:r>
        <w:t xml:space="preserve">三条结论</w:t>
      </w:r>
      <w:r>
        <w:t xml:space="preserve">”</w:t>
      </w:r>
      <w:r>
        <w:t xml:space="preserve">，缺一视为分析未完成：一是事实结论（数据说明了什么，尽可能量化）；二是判断结论（是否受控、是否有能力、是否达标，对照 4.3、4.3.8 的准则）；三是行动结论（是否需要措施、措施方向、责任部门与期限）。</w:t>
      </w:r>
    </w:p>
    <w:p>
      <w:pPr>
        <w:pStyle w:val="BodyText"/>
      </w:pPr>
      <w:r>
        <w:t xml:space="preserve">4.4.2 分析结论与后续管理活动按下列接口衔接：</w:t>
      </w:r>
    </w:p>
    <w:p>
      <w:pPr>
        <w:numPr>
          <w:ilvl w:val="0"/>
          <w:numId w:val="1009"/>
        </w:numPr>
        <w:pStyle w:val="Compact"/>
      </w:pPr>
      <w:r>
        <w:t xml:space="preserve">触发判异信号、Cpk 不达标、主要问题项未改善的，转入《纠正措施实施与验证作业指导书》（WI-QA-45）；</w:t>
      </w:r>
    </w:p>
    <w:p>
      <w:pPr>
        <w:numPr>
          <w:ilvl w:val="0"/>
          <w:numId w:val="1009"/>
        </w:numPr>
        <w:pStyle w:val="Compact"/>
      </w:pPr>
      <w:r>
        <w:t xml:space="preserve">涉及不合格品范围的，转入《不合格品控制程序》（QP-22）；</w:t>
      </w:r>
    </w:p>
    <w:p>
      <w:pPr>
        <w:numPr>
          <w:ilvl w:val="0"/>
          <w:numId w:val="1009"/>
        </w:numPr>
        <w:pStyle w:val="Compact"/>
      </w:pPr>
      <w:r>
        <w:t xml:space="preserve">需变更规格、工艺参数、检验方案的，转入《变更管理程序》（QP-29）；</w:t>
      </w:r>
    </w:p>
    <w:p>
      <w:pPr>
        <w:numPr>
          <w:ilvl w:val="0"/>
          <w:numId w:val="1009"/>
        </w:numPr>
        <w:pStyle w:val="Compact"/>
      </w:pPr>
      <w:r>
        <w:t xml:space="preserve">周期性统计结果作为《数据分析与评价程序》（QP-24）规定数据的组成部分，按季度汇总进入质量目标达成分析；</w:t>
      </w:r>
    </w:p>
    <w:p>
      <w:pPr>
        <w:numPr>
          <w:ilvl w:val="0"/>
          <w:numId w:val="1009"/>
        </w:numPr>
        <w:pStyle w:val="Compact"/>
      </w:pPr>
      <w:r>
        <w:t xml:space="preserve">与体系有效性相关的结论进入管理评审输入，按《管理评审输入准备作业指导书》（WI-QA-43）提交。</w:t>
      </w:r>
    </w:p>
    <w:p>
      <w:pPr>
        <w:pStyle w:val="FirstParagraph"/>
      </w:pPr>
      <w:r>
        <w:t xml:space="preserve">4.4.3 措施的效果需用同一工具、同一口径重新验证：控制图类问题看判异是否消失、过程是否重新受控；能力类问题看 Cpk 是否回升到判定要求以上；缺陷类问题看柏拉图主要问题项占比是否下降。验证结论记入《统计工具应用有效性评价表》。</w:t>
      </w:r>
    </w:p>
    <w:p>
      <w:pPr>
        <w:pStyle w:val="Heading3"/>
      </w:pPr>
      <w:bookmarkStart w:id="29" w:name="软件工具与数据文件管理"/>
      <w:r>
        <w:t xml:space="preserve">4.5 软件工具与数据文件管理</w:t>
      </w:r>
      <w:bookmarkEnd w:id="29"/>
    </w:p>
    <w:p>
      <w:pPr>
        <w:pStyle w:val="FirstParagraph"/>
      </w:pPr>
      <w:r>
        <w:t xml:space="preserve">4.5.1 本公司统计工具应用可采用电子表格、专业统计软件或自建数据采集系统。所用软件名称与版本应在《统计工具应用计划表》中登记，公式（含 Cp／Cpk、控制限、GRR 的计算式）须以受控模板形式固化，禁止使用来源不明或公式不可见的计算工具。</w:t>
      </w:r>
    </w:p>
    <w:p>
      <w:pPr>
        <w:pStyle w:val="BodyText"/>
      </w:pPr>
      <w:r>
        <w:t xml:space="preserve">4.5.2 电子表格模板中的公式区应加保护，使用人只能填写数据区；模板的任何修改由质量部统一进行并保留版本记录，修改后须告知全部使用部门。</w:t>
      </w:r>
    </w:p>
    <w:p>
      <w:pPr>
        <w:pStyle w:val="BodyText"/>
      </w:pPr>
      <w:r>
        <w:t xml:space="preserve">4.5.3 数据文件的命名与存放应便于追溯，推荐格式：</w:t>
      </w:r>
      <w:r>
        <w:rPr>
          <w:rStyle w:val="VerbatimChar"/>
        </w:rPr>
        <w:t xml:space="preserve">特性名称_数据类型_设备或工序编号_年月_分析人</w:t>
      </w:r>
      <w:r>
        <w:t xml:space="preserve">；原始数据文件、计算文件、导出图表三者同目录存放，不得只保留最终图表而丢弃原始数据。</w:t>
      </w:r>
    </w:p>
    <w:p>
      <w:pPr>
        <w:pStyle w:val="BodyText"/>
      </w:pPr>
      <w:r>
        <w:t xml:space="preserve">4.5.4 采用数据采集系统或 SPC 软件自动绘图的，仍应满足本文件要求：报警规则须与 4.3.7.4 一致，报警后的响应记录须能在系统中填写并导出；系统导出的图表应能追溯到原始数据点，不能追溯的须另存原始数据。</w:t>
      </w:r>
    </w:p>
    <w:p>
      <w:pPr>
        <w:pStyle w:val="BodyText"/>
      </w:pPr>
      <w:r>
        <w:t xml:space="preserve">4.5.5 数据分析人员不得在未记录的情况下清洗、替换或删除数据；系统自动剔除离群值的功能必须关闭或经批准后使用，并在记录中说明剔除规则。</w:t>
      </w:r>
    </w:p>
    <w:p>
      <w:pPr>
        <w:pStyle w:val="Heading3"/>
      </w:pPr>
      <w:bookmarkStart w:id="30" w:name="记录填写与归档"/>
      <w:r>
        <w:t xml:space="preserve">4.6 记录填写与归档</w:t>
      </w:r>
      <w:bookmarkEnd w:id="30"/>
    </w:p>
    <w:p>
      <w:pPr>
        <w:pStyle w:val="FirstParagraph"/>
      </w:pPr>
      <w:r>
        <w:t xml:space="preserve">4.6.1 每项工具应用应填写对应的应用记录，随附原始数据与图表，由分析人签署、由质量工程师复核。复核内容包括：数据与原始记录的一致性、工具选用是否恰当、前提条件是否满足、公式与参数是否与受控模板一致、结论与判定准则是否吻合。</w:t>
      </w:r>
    </w:p>
    <w:p>
      <w:pPr>
        <w:pStyle w:val="BodyText"/>
      </w:pPr>
      <w:r>
        <w:t xml:space="preserve">4.6.2 记录保存期限不少于 3 年；产品生命周期长、法规或合同另有规定的按更长期限保存。涉及产品安全、顾客特殊要求的特性分析记录应长期保存。</w:t>
      </w:r>
    </w:p>
    <w:p>
      <w:pPr>
        <w:pStyle w:val="BodyText"/>
      </w:pPr>
      <w:r>
        <w:t xml:space="preserve">4.6.3 归档按</w:t>
      </w:r>
      <w:r>
        <w:t xml:space="preserve">“</w:t>
      </w:r>
      <w:r>
        <w:t xml:space="preserve">特性或工序一档</w:t>
      </w:r>
      <w:r>
        <w:t xml:space="preserve">”</w:t>
      </w:r>
      <w:r>
        <w:t xml:space="preserve">原则整理：同一特性历次的分析记录、控制图、能力分析报告、措施与验证记录归入同一档案，便于查看改善前后的对比，也便于应对认证审核时对</w:t>
      </w:r>
      <w:r>
        <w:t xml:space="preserve">“</w:t>
      </w:r>
      <w:r>
        <w:t xml:space="preserve">统计技术是否有效应用</w:t>
      </w:r>
      <w:r>
        <w:t xml:space="preserve">”</w:t>
      </w:r>
      <w:r>
        <w:t xml:space="preserve">的追问。</w:t>
      </w:r>
    </w:p>
    <w:p>
      <w:pPr>
        <w:pStyle w:val="Heading3"/>
      </w:pPr>
      <w:bookmarkStart w:id="31" w:name="培训与能力认定"/>
      <w:r>
        <w:t xml:space="preserve">4.7 培训与能力认定</w:t>
      </w:r>
      <w:bookmarkEnd w:id="31"/>
    </w:p>
    <w:p>
      <w:pPr>
        <w:pStyle w:val="FirstParagraph"/>
      </w:pPr>
      <w:r>
        <w:t xml:space="preserve">4.7.1 统计工具应用岗位（质量工程师、检验技术员、工艺技术员、班组长）应经培训与考核后上岗，考核内容包括工具选用的判断能力与判读准则的掌握程度，不限于软件操作。</w:t>
      </w:r>
    </w:p>
    <w:p>
      <w:pPr>
        <w:pStyle w:val="BodyText"/>
      </w:pPr>
      <w:r>
        <w:t xml:space="preserve">4.7.2 培训内容至少覆盖：数据类型与分布基础、七类工具的用途与适用条件、控制图选用与判异、过程能力计算与判读、MSA 基础、本文件规定的记录要求。</w:t>
      </w:r>
    </w:p>
    <w:p>
      <w:pPr>
        <w:pStyle w:val="BodyText"/>
      </w:pPr>
      <w:r>
        <w:t xml:space="preserve">4.7.3 每个使用控制图与能力分析的部门应至少配备一名经认定的统计技术骨干，负责本部门工具应用的技术把关与新人带教。</w:t>
      </w:r>
    </w:p>
    <w:p>
      <w:pPr>
        <w:pStyle w:val="Heading2"/>
      </w:pPr>
      <w:bookmarkStart w:id="32" w:name="五相关记录"/>
      <w:r>
        <w:t xml:space="preserve">五、相关记录</w:t>
      </w:r>
      <w:bookmarkEnd w:id="32"/>
    </w:p>
    <w:tbl>
      <w:tblPr>
        <w:tblStyle w:val="Table"/>
        <w:tblW w:type="pct" w:w="0.0"/>
        <w:tblLook w:firstRow="1"/>
      </w:tblPr>
      <w:tblGrid/>
      <w:tr>
        <w:trPr>
          <w:cnfStyle w:firstRow="1"/>
        </w:trPr>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编号</w:t>
            </w:r>
          </w:p>
        </w:tc>
        <w:tc>
          <w:tcPr>
            <w:tcBorders>
              <w:bottom w:val="single"/>
            </w:tcBorders>
            <w:vAlign w:val="bottom"/>
          </w:tcPr>
          <w:p>
            <w:pPr>
              <w:pStyle w:val="Compact"/>
              <w:jc w:val="left"/>
            </w:pPr>
            <w:r>
              <w:t xml:space="preserve">编制部门</w:t>
            </w:r>
          </w:p>
        </w:tc>
        <w:tc>
          <w:tcPr>
            <w:tcBorders>
              <w:bottom w:val="single"/>
            </w:tcBorders>
            <w:vAlign w:val="bottom"/>
          </w:tcPr>
          <w:p>
            <w:pPr>
              <w:pStyle w:val="Compact"/>
              <w:jc w:val="left"/>
            </w:pPr>
            <w:r>
              <w:t xml:space="preserve">保存期限</w:t>
            </w:r>
          </w:p>
        </w:tc>
      </w:tr>
      <w:tr>
        <w:tc>
          <w:p>
            <w:pPr>
              <w:pStyle w:val="Compact"/>
              <w:jc w:val="left"/>
            </w:pPr>
            <w:r>
              <w:t xml:space="preserve">年度统计工具应用计划表</w:t>
            </w:r>
          </w:p>
        </w:tc>
        <w:tc>
          <w:p>
            <w:pPr>
              <w:pStyle w:val="Compact"/>
              <w:jc w:val="left"/>
            </w:pPr>
            <w:r>
              <w:t xml:space="preserve">QR-44-01</w:t>
            </w:r>
          </w:p>
        </w:tc>
        <w:tc>
          <w:p>
            <w:pPr>
              <w:pStyle w:val="Compact"/>
              <w:jc w:val="left"/>
            </w:pPr>
            <w:r>
              <w:t xml:space="preserve">质量部</w:t>
            </w:r>
          </w:p>
        </w:tc>
        <w:tc>
          <w:p>
            <w:pPr>
              <w:pStyle w:val="Compact"/>
              <w:jc w:val="left"/>
            </w:pPr>
            <w:r>
              <w:t xml:space="preserve">3 年</w:t>
            </w:r>
          </w:p>
        </w:tc>
      </w:tr>
      <w:tr>
        <w:tc>
          <w:p>
            <w:pPr>
              <w:pStyle w:val="Compact"/>
              <w:jc w:val="left"/>
            </w:pPr>
            <w:r>
              <w:t xml:space="preserve">数据采集检查表</w:t>
            </w:r>
          </w:p>
        </w:tc>
        <w:tc>
          <w:p>
            <w:pPr>
              <w:pStyle w:val="Compact"/>
              <w:jc w:val="left"/>
            </w:pPr>
            <w:r>
              <w:t xml:space="preserve">QR-44-02</w:t>
            </w:r>
          </w:p>
        </w:tc>
        <w:tc>
          <w:p>
            <w:pPr>
              <w:pStyle w:val="Compact"/>
              <w:jc w:val="left"/>
            </w:pPr>
            <w:r>
              <w:t xml:space="preserve">各使用部门</w:t>
            </w:r>
          </w:p>
        </w:tc>
        <w:tc>
          <w:p>
            <w:pPr>
              <w:pStyle w:val="Compact"/>
              <w:jc w:val="left"/>
            </w:pPr>
            <w:r>
              <w:t xml:space="preserve">3 年</w:t>
            </w:r>
          </w:p>
        </w:tc>
      </w:tr>
      <w:tr>
        <w:tc>
          <w:p>
            <w:pPr>
              <w:pStyle w:val="Compact"/>
              <w:jc w:val="left"/>
            </w:pPr>
            <w:r>
              <w:t xml:space="preserve">柏拉图分析记录</w:t>
            </w:r>
          </w:p>
        </w:tc>
        <w:tc>
          <w:p>
            <w:pPr>
              <w:pStyle w:val="Compact"/>
              <w:jc w:val="left"/>
            </w:pPr>
            <w:r>
              <w:t xml:space="preserve">QR-44-03</w:t>
            </w:r>
          </w:p>
        </w:tc>
        <w:tc>
          <w:p>
            <w:pPr>
              <w:pStyle w:val="Compact"/>
              <w:jc w:val="left"/>
            </w:pPr>
            <w:r>
              <w:t xml:space="preserve">各使用部门</w:t>
            </w:r>
          </w:p>
        </w:tc>
        <w:tc>
          <w:p>
            <w:pPr>
              <w:pStyle w:val="Compact"/>
              <w:jc w:val="left"/>
            </w:pPr>
            <w:r>
              <w:t xml:space="preserve">3 年</w:t>
            </w:r>
          </w:p>
        </w:tc>
      </w:tr>
      <w:tr>
        <w:tc>
          <w:p>
            <w:pPr>
              <w:pStyle w:val="Compact"/>
              <w:jc w:val="left"/>
            </w:pPr>
            <w:r>
              <w:t xml:space="preserve">直方图与分布分析记录</w:t>
            </w:r>
          </w:p>
        </w:tc>
        <w:tc>
          <w:p>
            <w:pPr>
              <w:pStyle w:val="Compact"/>
              <w:jc w:val="left"/>
            </w:pPr>
            <w:r>
              <w:t xml:space="preserve">QR-44-04</w:t>
            </w:r>
          </w:p>
        </w:tc>
        <w:tc>
          <w:p>
            <w:pPr>
              <w:pStyle w:val="Compact"/>
              <w:jc w:val="left"/>
            </w:pPr>
            <w:r>
              <w:t xml:space="preserve">各使用部门</w:t>
            </w:r>
          </w:p>
        </w:tc>
        <w:tc>
          <w:p>
            <w:pPr>
              <w:pStyle w:val="Compact"/>
              <w:jc w:val="left"/>
            </w:pPr>
            <w:r>
              <w:t xml:space="preserve">3 年</w:t>
            </w:r>
          </w:p>
        </w:tc>
      </w:tr>
      <w:tr>
        <w:tc>
          <w:p>
            <w:pPr>
              <w:pStyle w:val="Compact"/>
              <w:jc w:val="left"/>
            </w:pPr>
            <w:r>
              <w:t xml:space="preserve">控制图应用记录（含判异与处置）</w:t>
            </w:r>
          </w:p>
        </w:tc>
        <w:tc>
          <w:p>
            <w:pPr>
              <w:pStyle w:val="Compact"/>
              <w:jc w:val="left"/>
            </w:pPr>
            <w:r>
              <w:t xml:space="preserve">QR-44-05</w:t>
            </w:r>
          </w:p>
        </w:tc>
        <w:tc>
          <w:p>
            <w:pPr>
              <w:pStyle w:val="Compact"/>
              <w:jc w:val="left"/>
            </w:pPr>
            <w:r>
              <w:t xml:space="preserve">生产部／质量部</w:t>
            </w:r>
          </w:p>
        </w:tc>
        <w:tc>
          <w:p>
            <w:pPr>
              <w:pStyle w:val="Compact"/>
              <w:jc w:val="left"/>
            </w:pPr>
            <w:r>
              <w:t xml:space="preserve">3 年</w:t>
            </w:r>
          </w:p>
        </w:tc>
      </w:tr>
      <w:tr>
        <w:tc>
          <w:p>
            <w:pPr>
              <w:pStyle w:val="Compact"/>
              <w:jc w:val="left"/>
            </w:pPr>
            <w:r>
              <w:t xml:space="preserve">过程能力分析报告（Cp／Cpk／Pp／Ppk）</w:t>
            </w:r>
          </w:p>
        </w:tc>
        <w:tc>
          <w:p>
            <w:pPr>
              <w:pStyle w:val="Compact"/>
              <w:jc w:val="left"/>
            </w:pPr>
            <w:r>
              <w:t xml:space="preserve">QR-44-06</w:t>
            </w:r>
          </w:p>
        </w:tc>
        <w:tc>
          <w:p>
            <w:pPr>
              <w:pStyle w:val="Compact"/>
              <w:jc w:val="left"/>
            </w:pPr>
            <w:r>
              <w:t xml:space="preserve">质量部</w:t>
            </w:r>
          </w:p>
        </w:tc>
        <w:tc>
          <w:p>
            <w:pPr>
              <w:pStyle w:val="Compact"/>
              <w:jc w:val="left"/>
            </w:pPr>
            <w:r>
              <w:t xml:space="preserve">3 年</w:t>
            </w:r>
          </w:p>
        </w:tc>
      </w:tr>
      <w:tr>
        <w:tc>
          <w:p>
            <w:pPr>
              <w:pStyle w:val="Compact"/>
              <w:jc w:val="left"/>
            </w:pPr>
            <w:r>
              <w:t xml:space="preserve">散点图与相关性分析记录</w:t>
            </w:r>
          </w:p>
        </w:tc>
        <w:tc>
          <w:p>
            <w:pPr>
              <w:pStyle w:val="Compact"/>
              <w:jc w:val="left"/>
            </w:pPr>
            <w:r>
              <w:t xml:space="preserve">QR-44-07</w:t>
            </w:r>
          </w:p>
        </w:tc>
        <w:tc>
          <w:p>
            <w:pPr>
              <w:pStyle w:val="Compact"/>
              <w:jc w:val="left"/>
            </w:pPr>
            <w:r>
              <w:t xml:space="preserve">各使用部门</w:t>
            </w:r>
          </w:p>
        </w:tc>
        <w:tc>
          <w:p>
            <w:pPr>
              <w:pStyle w:val="Compact"/>
              <w:jc w:val="left"/>
            </w:pPr>
            <w:r>
              <w:t xml:space="preserve">3 年</w:t>
            </w:r>
          </w:p>
        </w:tc>
      </w:tr>
      <w:tr>
        <w:tc>
          <w:p>
            <w:pPr>
              <w:pStyle w:val="Compact"/>
              <w:jc w:val="left"/>
            </w:pPr>
            <w:r>
              <w:t xml:space="preserve">测量系统分析（MSA）报告</w:t>
            </w:r>
          </w:p>
        </w:tc>
        <w:tc>
          <w:p>
            <w:pPr>
              <w:pStyle w:val="Compact"/>
              <w:jc w:val="left"/>
            </w:pPr>
            <w:r>
              <w:t xml:space="preserve">QR-44-08</w:t>
            </w:r>
          </w:p>
        </w:tc>
        <w:tc>
          <w:p>
            <w:pPr>
              <w:pStyle w:val="Compact"/>
              <w:jc w:val="left"/>
            </w:pPr>
            <w:r>
              <w:t xml:space="preserve">检验部门</w:t>
            </w:r>
          </w:p>
        </w:tc>
        <w:tc>
          <w:p>
            <w:pPr>
              <w:pStyle w:val="Compact"/>
              <w:jc w:val="left"/>
            </w:pPr>
            <w:r>
              <w:t xml:space="preserve">3 年</w:t>
            </w:r>
          </w:p>
        </w:tc>
      </w:tr>
      <w:tr>
        <w:tc>
          <w:p>
            <w:pPr>
              <w:pStyle w:val="Compact"/>
              <w:jc w:val="left"/>
            </w:pPr>
            <w:r>
              <w:t xml:space="preserve">因果图／系统图分析记录</w:t>
            </w:r>
          </w:p>
        </w:tc>
        <w:tc>
          <w:p>
            <w:pPr>
              <w:pStyle w:val="Compact"/>
              <w:jc w:val="left"/>
            </w:pPr>
            <w:r>
              <w:t xml:space="preserve">QR-44-09</w:t>
            </w:r>
          </w:p>
        </w:tc>
        <w:tc>
          <w:p>
            <w:pPr>
              <w:pStyle w:val="Compact"/>
              <w:jc w:val="left"/>
            </w:pPr>
            <w:r>
              <w:t xml:space="preserve">责任部门</w:t>
            </w:r>
          </w:p>
        </w:tc>
        <w:tc>
          <w:p>
            <w:pPr>
              <w:pStyle w:val="Compact"/>
              <w:jc w:val="left"/>
            </w:pPr>
            <w:r>
              <w:t xml:space="preserve">3 年</w:t>
            </w:r>
          </w:p>
        </w:tc>
      </w:tr>
      <w:tr>
        <w:tc>
          <w:p>
            <w:pPr>
              <w:pStyle w:val="Compact"/>
              <w:jc w:val="left"/>
            </w:pPr>
            <w:r>
              <w:t xml:space="preserve">统计工具应用有效性评价表</w:t>
            </w:r>
          </w:p>
        </w:tc>
        <w:tc>
          <w:p>
            <w:pPr>
              <w:pStyle w:val="Compact"/>
              <w:jc w:val="left"/>
            </w:pPr>
            <w:r>
              <w:t xml:space="preserve">QR-44-10</w:t>
            </w:r>
          </w:p>
        </w:tc>
        <w:tc>
          <w:p>
            <w:pPr>
              <w:pStyle w:val="Compact"/>
              <w:jc w:val="left"/>
            </w:pPr>
            <w:r>
              <w:t xml:space="preserve">质量部</w:t>
            </w:r>
          </w:p>
        </w:tc>
        <w:tc>
          <w:p>
            <w:pPr>
              <w:pStyle w:val="Compact"/>
              <w:jc w:val="left"/>
            </w:pPr>
            <w:r>
              <w:t xml:space="preserve">3 年</w:t>
            </w:r>
          </w:p>
        </w:tc>
      </w:tr>
    </w:tbl>
    <w:p>
      <w:pPr>
        <w:pStyle w:val="BodyText"/>
      </w:pPr>
      <w:r>
        <w:rPr>
          <w:b/>
        </w:rPr>
        <w:t xml:space="preserve">表单字段清单与填写示例</w:t>
      </w:r>
    </w:p>
    <w:p>
      <w:pPr>
        <w:pStyle w:val="BodyText"/>
      </w:pPr>
      <w:r>
        <w:rPr>
          <w:b/>
        </w:rPr>
        <w:t xml:space="preserve">（一）《年度统计工具应用计划表》（QR-44-01）</w:t>
      </w:r>
    </w:p>
    <w:p>
      <w:pPr>
        <w:pStyle w:val="BodyText"/>
      </w:pPr>
      <w:r>
        <w:t xml:space="preserve">字段：序号｜特性或数据项目｜对应工序或过程｜数据类型｜规格限（上限／下限／目标值）｜选用工具｜抽样方式与频率｜样本量｜责任部门｜分析人｜输出记录编号｜完成时限｜软件与版本。</w:t>
      </w:r>
    </w:p>
    <w:p>
      <w:pPr>
        <w:pStyle w:val="BodyText"/>
      </w:pPr>
      <w:r>
        <w:t xml:space="preserve">填写说明：年初由质量部会同生产、技术部门编制，经管理者代表批准；</w:t>
      </w:r>
      <w:r>
        <w:t xml:space="preserve">“</w:t>
      </w:r>
      <w:r>
        <w:t xml:space="preserve">选用工具</w:t>
      </w:r>
      <w:r>
        <w:t xml:space="preserve">”</w:t>
      </w:r>
      <w:r>
        <w:t xml:space="preserve">按 4.1.2 指引填写，不得填写</w:t>
      </w:r>
      <w:r>
        <w:t xml:space="preserve">“</w:t>
      </w:r>
      <w:r>
        <w:t xml:space="preserve">视情况确定</w:t>
      </w:r>
      <w:r>
        <w:t xml:space="preserve">”</w:t>
      </w:r>
      <w:r>
        <w:t xml:space="preserve">；样本量与抽样频率须明确到可执行的程度（如</w:t>
      </w:r>
      <w:r>
        <w:t xml:space="preserve">“</w:t>
      </w:r>
      <w:r>
        <w:t xml:space="preserve">每 2 小时连续取 5 件</w:t>
      </w:r>
      <w:r>
        <w:t xml:space="preserve">”</w:t>
      </w:r>
      <w:r>
        <w:t xml:space="preserve">）；新增或撤销项目须在本表上留修订记录。</w:t>
      </w:r>
    </w:p>
    <w:p>
      <w:pPr>
        <w:pStyle w:val="BodyText"/>
      </w:pPr>
      <w:r>
        <w:t xml:space="preserve">示例行：</w:t>
      </w:r>
    </w:p>
    <w:tbl>
      <w:tblPr>
        <w:tblStyle w:val="Table"/>
        <w:tblW w:type="pct" w:w="0.0"/>
        <w:tblLook w:firstRow="1"/>
      </w:tblPr>
      <w:tblGrid/>
      <w:tr>
        <w:trPr>
          <w:cnfStyle w:firstRow="1"/>
        </w:trPr>
        <w:tc>
          <w:tcPr>
            <w:tcBorders>
              <w:bottom w:val="single"/>
            </w:tcBorders>
            <w:vAlign w:val="bottom"/>
          </w:tcPr>
          <w:p>
            <w:pPr>
              <w:pStyle w:val="Compact"/>
              <w:jc w:val="left"/>
            </w:pPr>
            <w:r>
              <w:t xml:space="preserve">序号</w:t>
            </w:r>
          </w:p>
        </w:tc>
        <w:tc>
          <w:tcPr>
            <w:tcBorders>
              <w:bottom w:val="single"/>
            </w:tcBorders>
            <w:vAlign w:val="bottom"/>
          </w:tcPr>
          <w:p>
            <w:pPr>
              <w:pStyle w:val="Compact"/>
              <w:jc w:val="left"/>
            </w:pPr>
            <w:r>
              <w:t xml:space="preserve">特性</w:t>
            </w:r>
          </w:p>
        </w:tc>
        <w:tc>
          <w:tcPr>
            <w:tcBorders>
              <w:bottom w:val="single"/>
            </w:tcBorders>
            <w:vAlign w:val="bottom"/>
          </w:tcPr>
          <w:p>
            <w:pPr>
              <w:pStyle w:val="Compact"/>
              <w:jc w:val="left"/>
            </w:pPr>
            <w:r>
              <w:t xml:space="preserve">工序</w:t>
            </w:r>
          </w:p>
        </w:tc>
        <w:tc>
          <w:tcPr>
            <w:tcBorders>
              <w:bottom w:val="single"/>
            </w:tcBorders>
            <w:vAlign w:val="bottom"/>
          </w:tcPr>
          <w:p>
            <w:pPr>
              <w:pStyle w:val="Compact"/>
              <w:jc w:val="left"/>
            </w:pPr>
            <w:r>
              <w:t xml:space="preserve">数据类型</w:t>
            </w:r>
          </w:p>
        </w:tc>
        <w:tc>
          <w:tcPr>
            <w:tcBorders>
              <w:bottom w:val="single"/>
            </w:tcBorders>
            <w:vAlign w:val="bottom"/>
          </w:tcPr>
          <w:p>
            <w:pPr>
              <w:pStyle w:val="Compact"/>
              <w:jc w:val="left"/>
            </w:pPr>
            <w:r>
              <w:t xml:space="preserve">规格限</w:t>
            </w:r>
          </w:p>
        </w:tc>
        <w:tc>
          <w:tcPr>
            <w:tcBorders>
              <w:bottom w:val="single"/>
            </w:tcBorders>
            <w:vAlign w:val="bottom"/>
          </w:tcPr>
          <w:p>
            <w:pPr>
              <w:pStyle w:val="Compact"/>
              <w:jc w:val="left"/>
            </w:pPr>
            <w:r>
              <w:t xml:space="preserve">选用工具</w:t>
            </w:r>
          </w:p>
        </w:tc>
        <w:tc>
          <w:tcPr>
            <w:tcBorders>
              <w:bottom w:val="single"/>
            </w:tcBorders>
            <w:vAlign w:val="bottom"/>
          </w:tcPr>
          <w:p>
            <w:pPr>
              <w:pStyle w:val="Compact"/>
              <w:jc w:val="left"/>
            </w:pPr>
            <w:r>
              <w:t xml:space="preserve">抽样方式</w:t>
            </w:r>
          </w:p>
        </w:tc>
        <w:tc>
          <w:tcPr>
            <w:tcBorders>
              <w:bottom w:val="single"/>
            </w:tcBorders>
            <w:vAlign w:val="bottom"/>
          </w:tcPr>
          <w:p>
            <w:pPr>
              <w:pStyle w:val="Compact"/>
              <w:jc w:val="left"/>
            </w:pPr>
            <w:r>
              <w:t xml:space="preserve">样本量</w:t>
            </w:r>
          </w:p>
        </w:tc>
        <w:tc>
          <w:tcPr>
            <w:tcBorders>
              <w:bottom w:val="single"/>
            </w:tcBorders>
            <w:vAlign w:val="bottom"/>
          </w:tcPr>
          <w:p>
            <w:pPr>
              <w:pStyle w:val="Compact"/>
              <w:jc w:val="left"/>
            </w:pPr>
            <w:r>
              <w:t xml:space="preserve">责任部门</w:t>
            </w:r>
          </w:p>
        </w:tc>
      </w:tr>
      <w:tr>
        <w:tc>
          <w:p>
            <w:pPr>
              <w:pStyle w:val="Compact"/>
              <w:jc w:val="left"/>
            </w:pPr>
            <w:r>
              <w:t xml:space="preserve">1</w:t>
            </w:r>
          </w:p>
        </w:tc>
        <w:tc>
          <w:p>
            <w:pPr>
              <w:pStyle w:val="Compact"/>
              <w:jc w:val="left"/>
            </w:pPr>
            <w:r>
              <w:t xml:space="preserve">外径 φ12.00</w:t>
            </w:r>
          </w:p>
        </w:tc>
        <w:tc>
          <w:p>
            <w:pPr>
              <w:pStyle w:val="Compact"/>
              <w:jc w:val="left"/>
            </w:pPr>
            <w:r>
              <w:t xml:space="preserve">精车</w:t>
            </w:r>
          </w:p>
        </w:tc>
        <w:tc>
          <w:p>
            <w:pPr>
              <w:pStyle w:val="Compact"/>
              <w:jc w:val="left"/>
            </w:pPr>
            <w:r>
              <w:t xml:space="preserve">计量型</w:t>
            </w:r>
          </w:p>
        </w:tc>
        <w:tc>
          <w:p>
            <w:pPr>
              <w:pStyle w:val="Compact"/>
              <w:jc w:val="left"/>
            </w:pPr>
            <w:r>
              <w:t xml:space="preserve">11.95～12.05</w:t>
            </w:r>
          </w:p>
        </w:tc>
        <w:tc>
          <w:p>
            <w:pPr>
              <w:pStyle w:val="Compact"/>
              <w:jc w:val="left"/>
            </w:pPr>
            <w:r>
              <w:t xml:space="preserve">X̄-R 控制图＋Cpk</w:t>
            </w:r>
          </w:p>
        </w:tc>
        <w:tc>
          <w:p>
            <w:pPr>
              <w:pStyle w:val="Compact"/>
              <w:jc w:val="left"/>
            </w:pPr>
            <w:r>
              <w:t xml:space="preserve">每 2 小时连续取 5 件</w:t>
            </w:r>
          </w:p>
        </w:tc>
        <w:tc>
          <w:p>
            <w:pPr>
              <w:pStyle w:val="Compact"/>
              <w:jc w:val="left"/>
            </w:pPr>
            <w:r>
              <w:t xml:space="preserve">25 组／月</w:t>
            </w:r>
          </w:p>
        </w:tc>
        <w:tc>
          <w:p>
            <w:pPr>
              <w:pStyle w:val="Compact"/>
              <w:jc w:val="left"/>
            </w:pPr>
            <w:r>
              <w:t xml:space="preserve">生产部</w:t>
            </w:r>
          </w:p>
        </w:tc>
      </w:tr>
      <w:tr>
        <w:tc>
          <w:p>
            <w:pPr>
              <w:pStyle w:val="Compact"/>
              <w:jc w:val="left"/>
            </w:pPr>
            <w:r>
              <w:t xml:space="preserve">2</w:t>
            </w:r>
          </w:p>
        </w:tc>
        <w:tc>
          <w:p>
            <w:pPr>
              <w:pStyle w:val="Compact"/>
              <w:jc w:val="left"/>
            </w:pPr>
            <w:r>
              <w:t xml:space="preserve">外观不良率</w:t>
            </w:r>
          </w:p>
        </w:tc>
        <w:tc>
          <w:p>
            <w:pPr>
              <w:pStyle w:val="Compact"/>
              <w:jc w:val="left"/>
            </w:pPr>
            <w:r>
              <w:t xml:space="preserve">成品检验</w:t>
            </w:r>
          </w:p>
        </w:tc>
        <w:tc>
          <w:p>
            <w:pPr>
              <w:pStyle w:val="Compact"/>
              <w:jc w:val="left"/>
            </w:pPr>
            <w:r>
              <w:t xml:space="preserve">计数型</w:t>
            </w:r>
          </w:p>
        </w:tc>
        <w:tc>
          <w:p>
            <w:pPr>
              <w:pStyle w:val="Compact"/>
              <w:jc w:val="left"/>
            </w:pPr>
            <w:r>
              <w:t xml:space="preserve">≤1.5%</w:t>
            </w:r>
          </w:p>
        </w:tc>
        <w:tc>
          <w:p>
            <w:pPr>
              <w:pStyle w:val="Compact"/>
              <w:jc w:val="left"/>
            </w:pPr>
            <w:r>
              <w:t xml:space="preserve">p 控制图＋柏拉图</w:t>
            </w:r>
          </w:p>
        </w:tc>
        <w:tc>
          <w:p>
            <w:pPr>
              <w:pStyle w:val="Compact"/>
              <w:jc w:val="left"/>
            </w:pPr>
            <w:r>
              <w:t xml:space="preserve">每批全检，按批统计</w:t>
            </w:r>
          </w:p>
        </w:tc>
        <w:tc>
          <w:p>
            <w:pPr>
              <w:pStyle w:val="Compact"/>
              <w:jc w:val="left"/>
            </w:pPr>
            <w:r>
              <w:t xml:space="preserve">每批约 800 件</w:t>
            </w:r>
          </w:p>
        </w:tc>
        <w:tc>
          <w:p>
            <w:pPr>
              <w:pStyle w:val="Compact"/>
              <w:jc w:val="left"/>
            </w:pPr>
            <w:r>
              <w:t xml:space="preserve">质量部</w:t>
            </w:r>
          </w:p>
        </w:tc>
      </w:tr>
    </w:tbl>
    <w:p>
      <w:pPr>
        <w:pStyle w:val="BodyText"/>
      </w:pPr>
      <w:r>
        <w:rPr>
          <w:b/>
        </w:rPr>
        <w:t xml:space="preserve">（二）《控制图应用记录》（QR-44-05）</w:t>
      </w:r>
    </w:p>
    <w:p>
      <w:pPr>
        <w:pStyle w:val="BodyText"/>
      </w:pPr>
      <w:r>
        <w:t xml:space="preserve">字段：图种｜特性名称｜规格限｜控制限（UCL／CL／LCL，含计算依据）｜子组大小与频率｜数据期间｜数据点数｜判异次数｜每次判异（日期／点数位置／触发准则／初步复核／特殊原因／受影响产品范围／处置措施／是否立案）｜控制限重算记录｜绘图人｜复核人。</w:t>
      </w:r>
    </w:p>
    <w:p>
      <w:pPr>
        <w:pStyle w:val="BodyText"/>
      </w:pPr>
      <w:r>
        <w:t xml:space="preserve">填写说明：控制限须填写实际计算值并注明所用公式与组数；判异记录逐次分行填写，不得合并；初步复核结果必须写明</w:t>
      </w:r>
      <w:r>
        <w:t xml:space="preserve">“</w:t>
      </w:r>
      <w:r>
        <w:t xml:space="preserve">数据错误已更正</w:t>
      </w:r>
      <w:r>
        <w:t xml:space="preserve">”</w:t>
      </w:r>
      <w:r>
        <w:t xml:space="preserve">或</w:t>
      </w:r>
      <w:r>
        <w:t xml:space="preserve">“</w:t>
      </w:r>
      <w:r>
        <w:t xml:space="preserve">数据无误，属实际异常</w:t>
      </w:r>
      <w:r>
        <w:t xml:space="preserve">”</w:t>
      </w:r>
      <w:r>
        <w:t xml:space="preserve">；受影响产品范围须给出批次或时间区间，便于追溯；未发生判异时填</w:t>
      </w:r>
      <w:r>
        <w:t xml:space="preserve">“</w:t>
      </w:r>
      <w:r>
        <w:t xml:space="preserve">本期无判异</w:t>
      </w:r>
      <w:r>
        <w:t xml:space="preserve">”</w:t>
      </w:r>
      <w:r>
        <w:t xml:space="preserve">。</w:t>
      </w:r>
    </w:p>
    <w:p>
      <w:pPr>
        <w:pStyle w:val="BodyText"/>
      </w:pPr>
      <w:r>
        <w:t xml:space="preserve">示例行（判异记录）：</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日期</w:t>
            </w:r>
          </w:p>
        </w:tc>
        <w:tc>
          <w:tcPr>
            <w:tcBorders>
              <w:bottom w:val="single"/>
            </w:tcBorders>
            <w:vAlign w:val="bottom"/>
          </w:tcPr>
          <w:p>
            <w:pPr>
              <w:pStyle w:val="Compact"/>
              <w:jc w:val="left"/>
            </w:pPr>
            <w:r>
              <w:t xml:space="preserve">触发准则</w:t>
            </w:r>
          </w:p>
        </w:tc>
        <w:tc>
          <w:tcPr>
            <w:tcBorders>
              <w:bottom w:val="single"/>
            </w:tcBorders>
            <w:vAlign w:val="bottom"/>
          </w:tcPr>
          <w:p>
            <w:pPr>
              <w:pStyle w:val="Compact"/>
              <w:jc w:val="left"/>
            </w:pPr>
            <w:r>
              <w:t xml:space="preserve">初步复核</w:t>
            </w:r>
          </w:p>
        </w:tc>
        <w:tc>
          <w:tcPr>
            <w:tcBorders>
              <w:bottom w:val="single"/>
            </w:tcBorders>
            <w:vAlign w:val="bottom"/>
          </w:tcPr>
          <w:p>
            <w:pPr>
              <w:pStyle w:val="Compact"/>
              <w:jc w:val="left"/>
            </w:pPr>
            <w:r>
              <w:t xml:space="preserve">特殊原因</w:t>
            </w:r>
          </w:p>
        </w:tc>
        <w:tc>
          <w:tcPr>
            <w:tcBorders>
              <w:bottom w:val="single"/>
            </w:tcBorders>
            <w:vAlign w:val="bottom"/>
          </w:tcPr>
          <w:p>
            <w:pPr>
              <w:pStyle w:val="Compact"/>
              <w:jc w:val="left"/>
            </w:pPr>
            <w:r>
              <w:t xml:space="preserve">受影响范围</w:t>
            </w:r>
          </w:p>
        </w:tc>
        <w:tc>
          <w:tcPr>
            <w:tcBorders>
              <w:bottom w:val="single"/>
            </w:tcBorders>
            <w:vAlign w:val="bottom"/>
          </w:tcPr>
          <w:p>
            <w:pPr>
              <w:pStyle w:val="Compact"/>
              <w:jc w:val="left"/>
            </w:pPr>
            <w:r>
              <w:t xml:space="preserve">处置措施</w:t>
            </w:r>
          </w:p>
        </w:tc>
      </w:tr>
      <w:tr>
        <w:tc>
          <w:p>
            <w:pPr>
              <w:pStyle w:val="Compact"/>
              <w:jc w:val="left"/>
            </w:pPr>
            <w:r>
              <w:t xml:space="preserve">2026-09-08</w:t>
            </w:r>
          </w:p>
        </w:tc>
        <w:tc>
          <w:p>
            <w:pPr>
              <w:pStyle w:val="Compact"/>
              <w:jc w:val="left"/>
            </w:pPr>
            <w:r>
              <w:t xml:space="preserve">连续 6 点递增</w:t>
            </w:r>
          </w:p>
        </w:tc>
        <w:tc>
          <w:p>
            <w:pPr>
              <w:pStyle w:val="Compact"/>
              <w:jc w:val="left"/>
            </w:pPr>
            <w:r>
              <w:t xml:space="preserve">数据无误，量具在校准有效期内</w:t>
            </w:r>
          </w:p>
        </w:tc>
        <w:tc>
          <w:p>
            <w:pPr>
              <w:pStyle w:val="Compact"/>
              <w:jc w:val="left"/>
            </w:pPr>
            <w:r>
              <w:t xml:space="preserve">刀具磨损</w:t>
            </w:r>
          </w:p>
        </w:tc>
        <w:tc>
          <w:p>
            <w:pPr>
              <w:pStyle w:val="Compact"/>
              <w:jc w:val="left"/>
            </w:pPr>
            <w:r>
              <w:t xml:space="preserve">当班 3 个批次，共 240 件</w:t>
            </w:r>
          </w:p>
        </w:tc>
        <w:tc>
          <w:p>
            <w:pPr>
              <w:pStyle w:val="Compact"/>
              <w:jc w:val="left"/>
            </w:pPr>
            <w:r>
              <w:t xml:space="preserve">更换刀具并复测首件，产品加严检验后合格放行；刀具更换周期由 500 件调整为 350 件</w:t>
            </w:r>
          </w:p>
        </w:tc>
      </w:tr>
    </w:tbl>
    <w:p>
      <w:pPr>
        <w:pStyle w:val="BodyText"/>
      </w:pPr>
      <w:r>
        <w:rPr>
          <w:b/>
        </w:rPr>
        <w:t xml:space="preserve">（三）《过程能力分析报告》（QR-44-06）</w:t>
      </w:r>
    </w:p>
    <w:p>
      <w:pPr>
        <w:pStyle w:val="BodyText"/>
      </w:pPr>
      <w:r>
        <w:t xml:space="preserve">字段：特性名称｜规格限｜数据类型与样本量｜数据来源与统计区间｜过程是否受控（附控制图编号）｜分布检验结论（是否近似正态，非正态时的处理方法）｜波动估计方式（组内／整体）｜Cp｜Cpk｜Pp｜Ppk｜等级判定｜对照判定准则的结论｜改进方向与责任部门｜分析日期｜分析人｜复核人。</w:t>
      </w:r>
    </w:p>
    <w:p>
      <w:pPr>
        <w:pStyle w:val="BodyText"/>
      </w:pPr>
      <w:r>
        <w:t xml:space="preserve">填写说明：一份报告只针对一个特性；</w:t>
      </w:r>
      <w:r>
        <w:t xml:space="preserve">“</w:t>
      </w:r>
      <w:r>
        <w:t xml:space="preserve">过程是否受控</w:t>
      </w:r>
      <w:r>
        <w:t xml:space="preserve">”</w:t>
      </w:r>
      <w:r>
        <w:t xml:space="preserve">必须写明依据（引用控制图记录编号），不得写</w:t>
      </w:r>
      <w:r>
        <w:t xml:space="preserve">“</w:t>
      </w:r>
      <w:r>
        <w:t xml:space="preserve">基本稳定</w:t>
      </w:r>
      <w:r>
        <w:t xml:space="preserve">”</w:t>
      </w:r>
      <w:r>
        <w:t xml:space="preserve">；Cp 与 Cpk 差距较大（超过 0.3）时应说明分布中心偏移的方向与原因；等级判定按 4.3.8.3 表格填写等级字母，不使用自定等级名称。</w:t>
      </w:r>
    </w:p>
    <w:p>
      <w:pPr>
        <w:pStyle w:val="BodyText"/>
      </w:pPr>
      <w:r>
        <w:t xml:space="preserve">示例行：</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特性</w:t>
            </w:r>
          </w:p>
        </w:tc>
        <w:tc>
          <w:tcPr>
            <w:tcBorders>
              <w:bottom w:val="single"/>
            </w:tcBorders>
            <w:vAlign w:val="bottom"/>
          </w:tcPr>
          <w:p>
            <w:pPr>
              <w:pStyle w:val="Compact"/>
              <w:jc w:val="left"/>
            </w:pPr>
            <w:r>
              <w:t xml:space="preserve">规格限</w:t>
            </w:r>
          </w:p>
        </w:tc>
        <w:tc>
          <w:tcPr>
            <w:tcBorders>
              <w:bottom w:val="single"/>
            </w:tcBorders>
            <w:vAlign w:val="bottom"/>
          </w:tcPr>
          <w:p>
            <w:pPr>
              <w:pStyle w:val="Compact"/>
              <w:jc w:val="left"/>
            </w:pPr>
            <w:r>
              <w:t xml:space="preserve">样本量</w:t>
            </w:r>
          </w:p>
        </w:tc>
        <w:tc>
          <w:tcPr>
            <w:tcBorders>
              <w:bottom w:val="single"/>
            </w:tcBorders>
            <w:vAlign w:val="bottom"/>
          </w:tcPr>
          <w:p>
            <w:pPr>
              <w:pStyle w:val="Compact"/>
              <w:jc w:val="left"/>
            </w:pPr>
            <w:r>
              <w:t xml:space="preserve">Cp</w:t>
            </w:r>
          </w:p>
        </w:tc>
        <w:tc>
          <w:tcPr>
            <w:tcBorders>
              <w:bottom w:val="single"/>
            </w:tcBorders>
            <w:vAlign w:val="bottom"/>
          </w:tcPr>
          <w:p>
            <w:pPr>
              <w:pStyle w:val="Compact"/>
              <w:jc w:val="left"/>
            </w:pPr>
            <w:r>
              <w:t xml:space="preserve">Cpk</w:t>
            </w:r>
          </w:p>
        </w:tc>
        <w:tc>
          <w:tcPr>
            <w:tcBorders>
              <w:bottom w:val="single"/>
            </w:tcBorders>
            <w:vAlign w:val="bottom"/>
          </w:tcPr>
          <w:p>
            <w:pPr>
              <w:pStyle w:val="Compact"/>
              <w:jc w:val="left"/>
            </w:pPr>
            <w:r>
              <w:t xml:space="preserve">等级</w:t>
            </w:r>
          </w:p>
        </w:tc>
        <w:tc>
          <w:tcPr>
            <w:tcBorders>
              <w:bottom w:val="single"/>
            </w:tcBorders>
            <w:vAlign w:val="bottom"/>
          </w:tcPr>
          <w:p>
            <w:pPr>
              <w:pStyle w:val="Compact"/>
              <w:jc w:val="left"/>
            </w:pPr>
            <w:r>
              <w:t xml:space="preserve">结论与方向</w:t>
            </w:r>
          </w:p>
        </w:tc>
      </w:tr>
      <w:tr>
        <w:tc>
          <w:p>
            <w:pPr>
              <w:pStyle w:val="Compact"/>
              <w:jc w:val="left"/>
            </w:pPr>
            <w:r>
              <w:t xml:space="preserve">外径 φ12.00</w:t>
            </w:r>
          </w:p>
        </w:tc>
        <w:tc>
          <w:p>
            <w:pPr>
              <w:pStyle w:val="Compact"/>
              <w:jc w:val="left"/>
            </w:pPr>
            <w:r>
              <w:t xml:space="preserve">11.95～12.05</w:t>
            </w:r>
          </w:p>
        </w:tc>
        <w:tc>
          <w:p>
            <w:pPr>
              <w:pStyle w:val="Compact"/>
              <w:jc w:val="left"/>
            </w:pPr>
            <w:r>
              <w:t xml:space="preserve">125</w:t>
            </w:r>
          </w:p>
        </w:tc>
        <w:tc>
          <w:p>
            <w:pPr>
              <w:pStyle w:val="Compact"/>
              <w:jc w:val="left"/>
            </w:pPr>
            <w:r>
              <w:t xml:space="preserve">1.42</w:t>
            </w:r>
          </w:p>
        </w:tc>
        <w:tc>
          <w:p>
            <w:pPr>
              <w:pStyle w:val="Compact"/>
              <w:jc w:val="left"/>
            </w:pPr>
            <w:r>
              <w:t xml:space="preserve">1.08</w:t>
            </w:r>
          </w:p>
        </w:tc>
        <w:tc>
          <w:p>
            <w:pPr>
              <w:pStyle w:val="Compact"/>
              <w:jc w:val="left"/>
            </w:pPr>
            <w:r>
              <w:t xml:space="preserve">C（能力偏低）</w:t>
            </w:r>
          </w:p>
        </w:tc>
        <w:tc>
          <w:p>
            <w:pPr>
              <w:pStyle w:val="Compact"/>
              <w:jc w:val="left"/>
            </w:pPr>
            <w:r>
              <w:t xml:space="preserve">过程受控，散布合格但中心偏向上限约 0.018mm，责成生产部调整对刀补偿，两周后复评</w:t>
            </w:r>
          </w:p>
        </w:tc>
      </w:tr>
    </w:tbl>
    <w:p>
      <w:pPr>
        <w:pStyle w:val="BodyText"/>
      </w:pPr>
      <w:r>
        <w:rPr>
          <w:b/>
        </w:rPr>
        <w:t xml:space="preserve">（四）《测量系统分析（MSA）报告》（QR-44-08）</w:t>
      </w:r>
    </w:p>
    <w:p>
      <w:pPr>
        <w:pStyle w:val="BodyText"/>
      </w:pPr>
      <w:r>
        <w:t xml:space="preserve">字段：量具名称与编号｜被测特性及规格限｜量程与分辨力（须小于公差 1/10）｜分析方法（均值极差法／ANOVA）｜测量者人数｜样品数与测量次数｜各测量者均值｜重复性（EV）｜再现性（AV）｜GRR（%GRR）｜可区分数（ndc）｜判定结论｜改进要求｜分析日期｜分析人｜复核人。</w:t>
      </w:r>
    </w:p>
    <w:p>
      <w:pPr>
        <w:pStyle w:val="BodyText"/>
      </w:pPr>
      <w:r>
        <w:t xml:space="preserve">填写说明：样品须覆盖过程实际波动范围并编号盲测；分辨力不满足</w:t>
      </w:r>
      <w:r>
        <w:t xml:space="preserve">“</w:t>
      </w:r>
      <w:r>
        <w:t xml:space="preserve">小于公差 1/10</w:t>
      </w:r>
      <w:r>
        <w:t xml:space="preserve">”</w:t>
      </w:r>
      <w:r>
        <w:t xml:space="preserve">的，应先更换量具再做 GRR；判定结论按 4.2.4 表格填写</w:t>
      </w:r>
      <w:r>
        <w:t xml:space="preserve">“</w:t>
      </w:r>
      <w:r>
        <w:t xml:space="preserve">可接受／有条件接受／不可接受</w:t>
      </w:r>
      <w:r>
        <w:t xml:space="preserve">”</w:t>
      </w:r>
      <w:r>
        <w:t xml:space="preserve">；有条件接受时须写明风险评估结论与批准人。</w:t>
      </w:r>
    </w:p>
    <w:p>
      <w:pPr>
        <w:pStyle w:val="BodyText"/>
      </w:pPr>
      <w:r>
        <w:t xml:space="preserve">示例行：</w:t>
      </w:r>
    </w:p>
    <w:tbl>
      <w:tblPr>
        <w:tblStyle w:val="Table"/>
        <w:tblW w:type="pct" w:w="0.0"/>
        <w:tblLook w:firstRow="1"/>
      </w:tblPr>
      <w:tblGrid/>
      <w:tr>
        <w:trPr>
          <w:cnfStyle w:firstRow="1"/>
        </w:trPr>
        <w:tc>
          <w:tcPr>
            <w:tcBorders>
              <w:bottom w:val="single"/>
            </w:tcBorders>
            <w:vAlign w:val="bottom"/>
          </w:tcPr>
          <w:p>
            <w:pPr>
              <w:pStyle w:val="Compact"/>
              <w:jc w:val="left"/>
            </w:pPr>
            <w:r>
              <w:t xml:space="preserve">量具</w:t>
            </w:r>
          </w:p>
        </w:tc>
        <w:tc>
          <w:tcPr>
            <w:tcBorders>
              <w:bottom w:val="single"/>
            </w:tcBorders>
            <w:vAlign w:val="bottom"/>
          </w:tcPr>
          <w:p>
            <w:pPr>
              <w:pStyle w:val="Compact"/>
              <w:jc w:val="left"/>
            </w:pPr>
            <w:r>
              <w:t xml:space="preserve">特性</w:t>
            </w:r>
          </w:p>
        </w:tc>
        <w:tc>
          <w:tcPr>
            <w:tcBorders>
              <w:bottom w:val="single"/>
            </w:tcBorders>
            <w:vAlign w:val="bottom"/>
          </w:tcPr>
          <w:p>
            <w:pPr>
              <w:pStyle w:val="Compact"/>
              <w:jc w:val="left"/>
            </w:pPr>
            <w:r>
              <w:t xml:space="preserve">%GRR</w:t>
            </w:r>
          </w:p>
        </w:tc>
        <w:tc>
          <w:tcPr>
            <w:tcBorders>
              <w:bottom w:val="single"/>
            </w:tcBorders>
            <w:vAlign w:val="bottom"/>
          </w:tcPr>
          <w:p>
            <w:pPr>
              <w:pStyle w:val="Compact"/>
              <w:jc w:val="left"/>
            </w:pPr>
            <w:r>
              <w:t xml:space="preserve">ndc</w:t>
            </w:r>
          </w:p>
        </w:tc>
        <w:tc>
          <w:tcPr>
            <w:tcBorders>
              <w:bottom w:val="single"/>
            </w:tcBorders>
            <w:vAlign w:val="bottom"/>
          </w:tcPr>
          <w:p>
            <w:pPr>
              <w:pStyle w:val="Compact"/>
              <w:jc w:val="left"/>
            </w:pPr>
            <w:r>
              <w:t xml:space="preserve">判定</w:t>
            </w:r>
          </w:p>
        </w:tc>
        <w:tc>
          <w:tcPr>
            <w:tcBorders>
              <w:bottom w:val="single"/>
            </w:tcBorders>
            <w:vAlign w:val="bottom"/>
          </w:tcPr>
          <w:p>
            <w:pPr>
              <w:pStyle w:val="Compact"/>
              <w:jc w:val="left"/>
            </w:pPr>
            <w:r>
              <w:t xml:space="preserve">说明</w:t>
            </w:r>
          </w:p>
        </w:tc>
      </w:tr>
      <w:tr>
        <w:tc>
          <w:p>
            <w:pPr>
              <w:pStyle w:val="Compact"/>
              <w:jc w:val="left"/>
            </w:pPr>
            <w:r>
              <w:t xml:space="preserve">数显千分尺 QJ-021</w:t>
            </w:r>
          </w:p>
        </w:tc>
        <w:tc>
          <w:p>
            <w:pPr>
              <w:pStyle w:val="Compact"/>
              <w:jc w:val="left"/>
            </w:pPr>
            <w:r>
              <w:t xml:space="preserve">外径 φ12.00</w:t>
            </w:r>
          </w:p>
        </w:tc>
        <w:tc>
          <w:p>
            <w:pPr>
              <w:pStyle w:val="Compact"/>
              <w:jc w:val="left"/>
            </w:pPr>
            <w:r>
              <w:t xml:space="preserve">9.4%</w:t>
            </w:r>
          </w:p>
        </w:tc>
        <w:tc>
          <w:p>
            <w:pPr>
              <w:pStyle w:val="Compact"/>
              <w:jc w:val="left"/>
            </w:pPr>
            <w:r>
              <w:t xml:space="preserve">12</w:t>
            </w:r>
          </w:p>
        </w:tc>
        <w:tc>
          <w:p>
            <w:pPr>
              <w:pStyle w:val="Compact"/>
              <w:jc w:val="left"/>
            </w:pPr>
            <w:r>
              <w:t xml:space="preserve">可接受</w:t>
            </w:r>
          </w:p>
        </w:tc>
        <w:tc>
          <w:p>
            <w:pPr>
              <w:pStyle w:val="Compact"/>
              <w:jc w:val="left"/>
            </w:pPr>
            <w:r>
              <w:t xml:space="preserve">可用于该特性的过程能力分析</w:t>
            </w:r>
          </w:p>
        </w:tc>
      </w:tr>
    </w:tbl>
    <w:p>
      <w:pPr>
        <w:pStyle w:val="BodyText"/>
      </w:pPr>
      <w:r>
        <w:rPr>
          <w:b/>
        </w:rPr>
        <w:t xml:space="preserve">（五）《统计工具应用有效性评价表》（QR-44-10）</w:t>
      </w:r>
    </w:p>
    <w:p>
      <w:pPr>
        <w:pStyle w:val="BodyText"/>
      </w:pPr>
      <w:r>
        <w:t xml:space="preserve">字段：评价周期｜计划应用项目数｜实际完成数｜按计划选用工具的比例｜记录完整率｜判异后按 4.3.7.5 处置的比例｜触发措施数｜措施验证有效数｜Cpk 达标项数变化（改善前／改善后）｜主要问题项占比变化｜发现的主要问题｜下一周期改进要求｜评价人｜管理者代表意见。</w:t>
      </w:r>
    </w:p>
    <w:p>
      <w:pPr>
        <w:pStyle w:val="BodyText"/>
      </w:pPr>
      <w:r>
        <w:t xml:space="preserve">填写说明：每季度评价一次，年度汇总；</w:t>
      </w:r>
      <w:r>
        <w:t xml:space="preserve">“</w:t>
      </w:r>
      <w:r>
        <w:t xml:space="preserve">判异后处置比例</w:t>
      </w:r>
      <w:r>
        <w:t xml:space="preserve">”</w:t>
      </w:r>
      <w:r>
        <w:t xml:space="preserve">低于 100% 时应列出未处置的具体项并说明原因，此栏是评价工具应用是否真正有效的核心指标；数据均来自 QR-44-05 至 QR-44-09 的台账，不得凭估计填写。</w:t>
      </w:r>
    </w:p>
    <w:p>
      <w:pPr>
        <w:pStyle w:val="BodyText"/>
      </w:pPr>
      <w:r>
        <w:t xml:space="preserve">示例行：</w:t>
      </w:r>
    </w:p>
    <w:tbl>
      <w:tblPr>
        <w:tblStyle w:val="Table"/>
        <w:tblW w:type="pct" w:w="0.0"/>
        <w:tblLook w:firstRow="1"/>
      </w:tblPr>
      <w:tblGrid/>
      <w:tr>
        <w:trPr>
          <w:cnfStyle w:firstRow="1"/>
        </w:trPr>
        <w:tc>
          <w:tcPr>
            <w:tcBorders>
              <w:bottom w:val="single"/>
            </w:tcBorders>
            <w:vAlign w:val="bottom"/>
          </w:tcPr>
          <w:p>
            <w:pPr>
              <w:pStyle w:val="Compact"/>
              <w:jc w:val="left"/>
            </w:pPr>
            <w:r>
              <w:t xml:space="preserve">评价周期</w:t>
            </w:r>
          </w:p>
        </w:tc>
        <w:tc>
          <w:tcPr>
            <w:tcBorders>
              <w:bottom w:val="single"/>
            </w:tcBorders>
            <w:vAlign w:val="bottom"/>
          </w:tcPr>
          <w:p>
            <w:pPr>
              <w:pStyle w:val="Compact"/>
              <w:jc w:val="left"/>
            </w:pPr>
            <w:r>
              <w:t xml:space="preserve">计划项数</w:t>
            </w:r>
          </w:p>
        </w:tc>
        <w:tc>
          <w:tcPr>
            <w:tcBorders>
              <w:bottom w:val="single"/>
            </w:tcBorders>
            <w:vAlign w:val="bottom"/>
          </w:tcPr>
          <w:p>
            <w:pPr>
              <w:pStyle w:val="Compact"/>
              <w:jc w:val="left"/>
            </w:pPr>
            <w:r>
              <w:t xml:space="preserve">完成数</w:t>
            </w:r>
          </w:p>
        </w:tc>
        <w:tc>
          <w:tcPr>
            <w:tcBorders>
              <w:bottom w:val="single"/>
            </w:tcBorders>
            <w:vAlign w:val="bottom"/>
          </w:tcPr>
          <w:p>
            <w:pPr>
              <w:pStyle w:val="Compact"/>
              <w:jc w:val="left"/>
            </w:pPr>
            <w:r>
              <w:t xml:space="preserve">判异处置比例</w:t>
            </w:r>
          </w:p>
        </w:tc>
        <w:tc>
          <w:tcPr>
            <w:tcBorders>
              <w:bottom w:val="single"/>
            </w:tcBorders>
            <w:vAlign w:val="bottom"/>
          </w:tcPr>
          <w:p>
            <w:pPr>
              <w:pStyle w:val="Compact"/>
              <w:jc w:val="left"/>
            </w:pPr>
            <w:r>
              <w:t xml:space="preserve">触发措施数</w:t>
            </w:r>
          </w:p>
        </w:tc>
        <w:tc>
          <w:tcPr>
            <w:tcBorders>
              <w:bottom w:val="single"/>
            </w:tcBorders>
            <w:vAlign w:val="bottom"/>
          </w:tcPr>
          <w:p>
            <w:pPr>
              <w:pStyle w:val="Compact"/>
              <w:jc w:val="left"/>
            </w:pPr>
            <w:r>
              <w:t xml:space="preserve">措施验证有效数</w:t>
            </w:r>
          </w:p>
        </w:tc>
        <w:tc>
          <w:tcPr>
            <w:tcBorders>
              <w:bottom w:val="single"/>
            </w:tcBorders>
            <w:vAlign w:val="bottom"/>
          </w:tcPr>
          <w:p>
            <w:pPr>
              <w:pStyle w:val="Compact"/>
              <w:jc w:val="left"/>
            </w:pPr>
            <w:r>
              <w:t xml:space="preserve">主要问题</w:t>
            </w:r>
          </w:p>
        </w:tc>
      </w:tr>
      <w:tr>
        <w:tc>
          <w:p>
            <w:pPr>
              <w:pStyle w:val="Compact"/>
              <w:jc w:val="left"/>
            </w:pPr>
            <w:r>
              <w:t xml:space="preserve">2026 年第三季度</w:t>
            </w:r>
          </w:p>
        </w:tc>
        <w:tc>
          <w:p>
            <w:pPr>
              <w:pStyle w:val="Compact"/>
              <w:jc w:val="left"/>
            </w:pPr>
            <w:r>
              <w:t xml:space="preserve">12</w:t>
            </w:r>
          </w:p>
        </w:tc>
        <w:tc>
          <w:p>
            <w:pPr>
              <w:pStyle w:val="Compact"/>
              <w:jc w:val="left"/>
            </w:pPr>
            <w:r>
              <w:t xml:space="preserve">12</w:t>
            </w:r>
          </w:p>
        </w:tc>
        <w:tc>
          <w:p>
            <w:pPr>
              <w:pStyle w:val="Compact"/>
              <w:jc w:val="left"/>
            </w:pPr>
            <w:r>
              <w:t xml:space="preserve">11/12</w:t>
            </w:r>
          </w:p>
        </w:tc>
        <w:tc>
          <w:p>
            <w:pPr>
              <w:pStyle w:val="Compact"/>
              <w:jc w:val="left"/>
            </w:pPr>
            <w:r>
              <w:t xml:space="preserve">5</w:t>
            </w:r>
          </w:p>
        </w:tc>
        <w:tc>
          <w:p>
            <w:pPr>
              <w:pStyle w:val="Compact"/>
              <w:jc w:val="left"/>
            </w:pPr>
            <w:r>
              <w:t xml:space="preserve">4</w:t>
            </w:r>
          </w:p>
        </w:tc>
        <w:tc>
          <w:p>
            <w:pPr>
              <w:pStyle w:val="Compact"/>
              <w:jc w:val="left"/>
            </w:pPr>
            <w:r>
              <w:t xml:space="preserve">一条产线判异后已隔离未记录原因，须补做并纳入下季检查</w:t>
            </w:r>
          </w:p>
        </w:tc>
      </w:tr>
    </w:tbl>
    <w:p>
      <w:pPr>
        <w:pStyle w:val="Heading2"/>
      </w:pPr>
      <w:bookmarkStart w:id="33" w:name="六相关文件"/>
      <w:r>
        <w:t xml:space="preserve">六、相关文件</w:t>
      </w:r>
      <w:bookmarkEnd w:id="33"/>
    </w:p>
    <w:p>
      <w:pPr>
        <w:numPr>
          <w:ilvl w:val="0"/>
          <w:numId w:val="1010"/>
        </w:numPr>
        <w:pStyle w:val="Compact"/>
      </w:pPr>
      <w:r>
        <w:t xml:space="preserve">《数据分析与评价程序》（QP-24）</w:t>
      </w:r>
    </w:p>
    <w:p>
      <w:pPr>
        <w:numPr>
          <w:ilvl w:val="0"/>
          <w:numId w:val="1010"/>
        </w:numPr>
        <w:pStyle w:val="Compact"/>
      </w:pPr>
      <w:r>
        <w:t xml:space="preserve">《数据分析与统计工具应用指导书》（WI-QA-44，本文件）</w:t>
      </w:r>
    </w:p>
    <w:p>
      <w:pPr>
        <w:numPr>
          <w:ilvl w:val="0"/>
          <w:numId w:val="1010"/>
        </w:numPr>
        <w:pStyle w:val="Compact"/>
      </w:pPr>
      <w:r>
        <w:t xml:space="preserve">《管理评审程序》（QP-26）</w:t>
      </w:r>
    </w:p>
    <w:p>
      <w:pPr>
        <w:numPr>
          <w:ilvl w:val="0"/>
          <w:numId w:val="1010"/>
        </w:numPr>
        <w:pStyle w:val="Compact"/>
      </w:pPr>
      <w:r>
        <w:t xml:space="preserve">《管理评审输入准备作业指导书》（WI-QA-43）</w:t>
      </w:r>
    </w:p>
    <w:p>
      <w:pPr>
        <w:numPr>
          <w:ilvl w:val="0"/>
          <w:numId w:val="1010"/>
        </w:numPr>
        <w:pStyle w:val="Compact"/>
      </w:pPr>
      <w:r>
        <w:t xml:space="preserve">《内部审核程序》（QP-25）</w:t>
      </w:r>
    </w:p>
    <w:p>
      <w:pPr>
        <w:numPr>
          <w:ilvl w:val="0"/>
          <w:numId w:val="1010"/>
        </w:numPr>
        <w:pStyle w:val="Compact"/>
      </w:pPr>
      <w:r>
        <w:t xml:space="preserve">《内审实施作业指导书》（WI-QA-42）</w:t>
      </w:r>
    </w:p>
    <w:p>
      <w:pPr>
        <w:numPr>
          <w:ilvl w:val="0"/>
          <w:numId w:val="1010"/>
        </w:numPr>
        <w:pStyle w:val="Compact"/>
      </w:pPr>
      <w:r>
        <w:t xml:space="preserve">《不合格品控制程序》（QP-22）</w:t>
      </w:r>
    </w:p>
    <w:p>
      <w:pPr>
        <w:numPr>
          <w:ilvl w:val="0"/>
          <w:numId w:val="1010"/>
        </w:numPr>
        <w:pStyle w:val="Compact"/>
      </w:pPr>
      <w:r>
        <w:t xml:space="preserve">《不合格品评审与处置作业指导书》（WI-QA-37）</w:t>
      </w:r>
    </w:p>
    <w:p>
      <w:pPr>
        <w:numPr>
          <w:ilvl w:val="0"/>
          <w:numId w:val="1010"/>
        </w:numPr>
        <w:pStyle w:val="Compact"/>
      </w:pPr>
      <w:r>
        <w:t xml:space="preserve">《不合格与纠正措施程序》（QP-27）</w:t>
      </w:r>
    </w:p>
    <w:p>
      <w:pPr>
        <w:numPr>
          <w:ilvl w:val="0"/>
          <w:numId w:val="1010"/>
        </w:numPr>
        <w:pStyle w:val="Compact"/>
      </w:pPr>
      <w:r>
        <w:t xml:space="preserve">《纠正措施实施与验证作业指导书》（WI-QA-45）</w:t>
      </w:r>
    </w:p>
    <w:p>
      <w:pPr>
        <w:numPr>
          <w:ilvl w:val="0"/>
          <w:numId w:val="1010"/>
        </w:numPr>
        <w:pStyle w:val="Compact"/>
      </w:pPr>
      <w:r>
        <w:t xml:space="preserve">《变更管理程序》（QP-29）</w:t>
      </w:r>
    </w:p>
    <w:p>
      <w:pPr>
        <w:numPr>
          <w:ilvl w:val="0"/>
          <w:numId w:val="1010"/>
        </w:numPr>
        <w:pStyle w:val="Compact"/>
      </w:pPr>
      <w:r>
        <w:t xml:space="preserve">《监视和测量资源控制程序》（QP-10）</w:t>
      </w:r>
    </w:p>
    <w:p>
      <w:pPr>
        <w:numPr>
          <w:ilvl w:val="0"/>
          <w:numId w:val="1010"/>
        </w:numPr>
        <w:pStyle w:val="Compact"/>
      </w:pPr>
      <w:r>
        <w:t xml:space="preserve">《计量器具校准与期间核查作业指导书》（WI-QA-33）</w:t>
      </w:r>
    </w:p>
    <w:p>
      <w:pPr>
        <w:numPr>
          <w:ilvl w:val="0"/>
          <w:numId w:val="1010"/>
        </w:numPr>
        <w:pStyle w:val="Compact"/>
      </w:pPr>
      <w:r>
        <w:t xml:space="preserve">《生产过程控制程序》（QP-17）</w:t>
      </w:r>
    </w:p>
    <w:p>
      <w:pPr>
        <w:numPr>
          <w:ilvl w:val="0"/>
          <w:numId w:val="1010"/>
        </w:numPr>
        <w:pStyle w:val="Compact"/>
      </w:pPr>
      <w:r>
        <w:t xml:space="preserve">《产品实现策划程序》（QP-13）</w:t>
      </w:r>
    </w:p>
    <w:p>
      <w:pPr>
        <w:numPr>
          <w:ilvl w:val="0"/>
          <w:numId w:val="1010"/>
        </w:numPr>
        <w:pStyle w:val="Compact"/>
      </w:pPr>
      <w:r>
        <w:t xml:space="preserve">《设计和开发控制程序》（QP-15）</w:t>
      </w:r>
    </w:p>
    <w:p>
      <w:pPr>
        <w:numPr>
          <w:ilvl w:val="0"/>
          <w:numId w:val="1010"/>
        </w:numPr>
        <w:pStyle w:val="Compact"/>
      </w:pPr>
      <w:r>
        <w:t xml:space="preserve">《顾客满意监视测量程序》（QP-23）</w:t>
      </w:r>
    </w:p>
    <w:p>
      <w:pPr>
        <w:numPr>
          <w:ilvl w:val="0"/>
          <w:numId w:val="1010"/>
        </w:numPr>
        <w:pStyle w:val="Compact"/>
      </w:pPr>
      <w:r>
        <w:t xml:space="preserve">《供方准入与绩效评价作业指导书》（WI-QA-40）</w:t>
      </w:r>
    </w:p>
    <w:p>
      <w:pPr>
        <w:numPr>
          <w:ilvl w:val="0"/>
          <w:numId w:val="1010"/>
        </w:numPr>
        <w:pStyle w:val="Compact"/>
      </w:pPr>
      <w:r>
        <w:t xml:space="preserve">《记录控制程序》（QP-04）</w:t>
      </w:r>
    </w:p>
    <w:p>
      <w:pPr>
        <w:numPr>
          <w:ilvl w:val="0"/>
          <w:numId w:val="1010"/>
        </w:numPr>
        <w:pStyle w:val="Compact"/>
      </w:pPr>
      <w:r>
        <w:t xml:space="preserve">《记录填写与归档作业指导书》（WI-QA-39）</w:t>
      </w:r>
    </w:p>
    <w:p>
      <w:pPr>
        <w:numPr>
          <w:ilvl w:val="0"/>
          <w:numId w:val="1010"/>
        </w:numPr>
        <w:pStyle w:val="Compact"/>
      </w:pPr>
      <w:r>
        <w:t xml:space="preserve">《员工培训作业指导书》（WI-QA-31）</w:t>
      </w:r>
    </w:p>
    <w:p>
      <w:r>
        <w:pict>
          <v:rect style="width:0;height:1.5pt" o:hralign="center" o:hrstd="t" o:hr="t"/>
        </w:pict>
      </w:r>
    </w:p>
    <w:p>
      <w:pPr>
        <w:pStyle w:val="Heading2"/>
      </w:pPr>
      <w:bookmarkStart w:id="34" w:name="使用说明"/>
      <w:r>
        <w:t xml:space="preserve">使用说明</w:t>
      </w:r>
      <w:bookmarkEnd w:id="34"/>
    </w:p>
    <w:p>
      <w:pPr>
        <w:pStyle w:val="FirstParagraph"/>
      </w:pPr>
      <w:r>
        <w:rPr>
          <w:b/>
        </w:rPr>
        <w:t xml:space="preserve">一、按企业实际修改</w:t>
      </w:r>
    </w:p>
    <w:p>
      <w:pPr>
        <w:numPr>
          <w:ilvl w:val="0"/>
          <w:numId w:val="1011"/>
        </w:numPr>
        <w:pStyle w:val="Compact"/>
      </w:pPr>
      <w:r>
        <w:rPr>
          <w:b/>
        </w:rPr>
        <w:t xml:space="preserve">工具范围按产品类型裁剪</w:t>
      </w:r>
      <w:r>
        <w:t xml:space="preserve">。流程型、装配型、机加工企业应保留完整工具集，重点放在 X̄-R 控制图与过程能力分析；贸易、服务类企业无连续过程数据，可将重点移向检查表＋柏拉图＋趋势图与投诉分类分析，删去 MSA 与能力分析条款，但数据采集与判读准则部分必须保留。检测实验室类企业应增列</w:t>
      </w:r>
      <w:r>
        <w:t xml:space="preserve">“</w:t>
      </w:r>
      <w:r>
        <w:t xml:space="preserve">能力验证／实验室间比对</w:t>
      </w:r>
      <w:r>
        <w:t xml:space="preserve">”</w:t>
      </w:r>
      <w:r>
        <w:t xml:space="preserve">的数据处理条款。</w:t>
      </w:r>
    </w:p>
    <w:p>
      <w:pPr>
        <w:numPr>
          <w:ilvl w:val="0"/>
          <w:numId w:val="1011"/>
        </w:numPr>
        <w:pStyle w:val="Compact"/>
      </w:pPr>
      <w:r>
        <w:rPr>
          <w:b/>
        </w:rPr>
        <w:t xml:space="preserve">判定准则按顾客与行业要求调整</w:t>
      </w:r>
      <w:r>
        <w:t xml:space="preserve">。本文件采用 Cpk≥1.33 的通用判定与 70%～80% 的柏拉图主因阈值。汽车、医疗、航空等领域顾客可能要求 Cpk≥1.67 或指定判异准则（如采用 8 条判异规则），应整体替换 4.3.7.4 与 4.3.8.3，并在文件修订说明中注明依据的顾客标准或手册。关键特性与一般特性可设两套阈值，但必须在计划表中逐项标明，避免现场争议。</w:t>
      </w:r>
    </w:p>
    <w:p>
      <w:pPr>
        <w:numPr>
          <w:ilvl w:val="0"/>
          <w:numId w:val="1011"/>
        </w:numPr>
        <w:pStyle w:val="Compact"/>
      </w:pPr>
      <w:r>
        <w:rPr>
          <w:b/>
        </w:rPr>
        <w:t xml:space="preserve">抽样频率按节拍与风险设定</w:t>
      </w:r>
      <w:r>
        <w:t xml:space="preserve">。批量小、换型频繁的多品种小批量生产，若按固定子组抽样凑不齐 20～25 组，可采用 I-MR 图或缩短子组间隔，并明确</w:t>
      </w:r>
      <w:r>
        <w:t xml:space="preserve">“</w:t>
      </w:r>
      <w:r>
        <w:t xml:space="preserve">数据不足时只作趋势提示、不出能力结论</w:t>
      </w:r>
      <w:r>
        <w:t xml:space="preserve">”</w:t>
      </w:r>
      <w:r>
        <w:t xml:space="preserve">的处理口径，防止为凑样本而编造数据。</w:t>
      </w:r>
    </w:p>
    <w:p>
      <w:pPr>
        <w:numPr>
          <w:ilvl w:val="0"/>
          <w:numId w:val="1011"/>
        </w:numPr>
        <w:pStyle w:val="Compact"/>
      </w:pPr>
      <w:r>
        <w:rPr>
          <w:b/>
        </w:rPr>
        <w:t xml:space="preserve">软件与模板按现有条件适配</w:t>
      </w:r>
      <w:r>
        <w:t xml:space="preserve">。未导入专业统计软件的企业，可用电子表格建立受控模板，重点是公式固化与版本控制；已导入 SPC 系统或数据采集平台的企业，应把系统的报警规则、图表模板、数据留存方式与本文件逐条对齐，特别是报警后必须在系统内留下处置记录，避免系统上线后仍出现</w:t>
      </w:r>
      <w:r>
        <w:t xml:space="preserve">“</w:t>
      </w:r>
      <w:r>
        <w:t xml:space="preserve">报而不响</w:t>
      </w:r>
      <w:r>
        <w:t xml:space="preserve">”</w:t>
      </w:r>
      <w:r>
        <w:t xml:space="preserve">。</w:t>
      </w:r>
    </w:p>
    <w:p>
      <w:pPr>
        <w:numPr>
          <w:ilvl w:val="0"/>
          <w:numId w:val="1011"/>
        </w:numPr>
        <w:pStyle w:val="Compact"/>
      </w:pPr>
      <w:r>
        <w:rPr>
          <w:b/>
        </w:rPr>
        <w:t xml:space="preserve">表单编号与公司现有体系对齐</w:t>
      </w:r>
      <w:r>
        <w:t xml:space="preserve">。本文件表单采用 QR-44-×× 编号，若公司使用其他编号规则应整体替换，并同步登记入《记录清单》，防止出现无编号记录或台账漏项。</w:t>
      </w:r>
    </w:p>
    <w:p>
      <w:pPr>
        <w:numPr>
          <w:ilvl w:val="0"/>
          <w:numId w:val="1011"/>
        </w:numPr>
        <w:pStyle w:val="Compact"/>
      </w:pPr>
      <w:r>
        <w:rPr>
          <w:b/>
        </w:rPr>
        <w:t xml:space="preserve">角色配置按公司规模调整</w:t>
      </w:r>
      <w:r>
        <w:t xml:space="preserve">。本文件设</w:t>
      </w:r>
      <w:r>
        <w:t xml:space="preserve">“</w:t>
      </w:r>
      <w:r>
        <w:t xml:space="preserve">质量工程师（统计技术责任岗）</w:t>
      </w:r>
      <w:r>
        <w:t xml:space="preserve">”</w:t>
      </w:r>
      <w:r>
        <w:t xml:space="preserve">。50 人以下企业可由质量部负责人兼任，但须在任职资格中明确要求掌握本文件的判读准则；多厂区企业应每个厂区指定一名技术把关人，避免跨厂区口径不一致。</w:t>
      </w:r>
    </w:p>
    <w:p>
      <w:pPr>
        <w:numPr>
          <w:ilvl w:val="0"/>
          <w:numId w:val="1011"/>
        </w:numPr>
        <w:pStyle w:val="Compact"/>
      </w:pPr>
      <w:r>
        <w:rPr>
          <w:b/>
        </w:rPr>
        <w:t xml:space="preserve">首次推行建议先试点</w:t>
      </w:r>
      <w:r>
        <w:t xml:space="preserve">。选择一条数据基础较好、波动较为明显的产线先跑一个季度，把记录模板、判定准则、处置流程跑通后再全线推行，并在试点后修订文件中不切实际的时间要求。</w:t>
      </w:r>
    </w:p>
    <w:p>
      <w:pPr>
        <w:pStyle w:val="FirstParagraph"/>
      </w:pPr>
      <w:r>
        <w:rPr>
          <w:b/>
        </w:rPr>
        <w:t xml:space="preserve">二、审核关注点（内审与认证审核高频）</w:t>
      </w:r>
    </w:p>
    <w:p>
      <w:pPr>
        <w:numPr>
          <w:ilvl w:val="0"/>
          <w:numId w:val="1012"/>
        </w:numPr>
        <w:pStyle w:val="Compact"/>
      </w:pPr>
      <w:r>
        <w:t xml:space="preserve">统计技术是否在体系文件中作了规定，且实际应用中能够指出依据的是哪一份文件、哪一条；</w:t>
      </w:r>
    </w:p>
    <w:p>
      <w:pPr>
        <w:numPr>
          <w:ilvl w:val="0"/>
          <w:numId w:val="1012"/>
        </w:numPr>
        <w:pStyle w:val="Compact"/>
      </w:pPr>
      <w:r>
        <w:t xml:space="preserve">工具选用是否与数据类型和目的匹配：是否存在用计数型数据做能力分析、把规格限当控制限使用的原理性错误；</w:t>
      </w:r>
    </w:p>
    <w:p>
      <w:pPr>
        <w:numPr>
          <w:ilvl w:val="0"/>
          <w:numId w:val="1012"/>
        </w:numPr>
        <w:pStyle w:val="Compact"/>
      </w:pPr>
      <w:r>
        <w:t xml:space="preserve">控制图是否有控制限计算依据，控制限是否在过程未受控或条件变更后仍长期不重算；</w:t>
      </w:r>
    </w:p>
    <w:p>
      <w:pPr>
        <w:numPr>
          <w:ilvl w:val="0"/>
          <w:numId w:val="1012"/>
        </w:numPr>
        <w:pStyle w:val="Compact"/>
      </w:pPr>
      <w:r>
        <w:t xml:space="preserve">出现判异信号后是否有排查、原因、受影响产品范围与处置记录，</w:t>
      </w:r>
      <w:r>
        <w:t xml:space="preserve">“</w:t>
      </w:r>
      <w:r>
        <w:t xml:space="preserve">报而不响</w:t>
      </w:r>
      <w:r>
        <w:t xml:space="preserve">”</w:t>
      </w:r>
      <w:r>
        <w:t xml:space="preserve">是最高频的观察项来源；</w:t>
      </w:r>
    </w:p>
    <w:p>
      <w:pPr>
        <w:numPr>
          <w:ilvl w:val="0"/>
          <w:numId w:val="1012"/>
        </w:numPr>
        <w:pStyle w:val="Compact"/>
      </w:pPr>
      <w:r>
        <w:t xml:space="preserve">过程能力分析是否在过程受控的前提下进行，是否附有控制图或稳定性证据；</w:t>
      </w:r>
    </w:p>
    <w:p>
      <w:pPr>
        <w:numPr>
          <w:ilvl w:val="0"/>
          <w:numId w:val="1012"/>
        </w:numPr>
        <w:pStyle w:val="Compact"/>
      </w:pPr>
      <w:r>
        <w:t xml:space="preserve">是否有测量系统分析的证据，用于能力判定的数据对应的量具是否在 GRR 可接受范围内、是否在检定校准有效期内；</w:t>
      </w:r>
    </w:p>
    <w:p>
      <w:pPr>
        <w:numPr>
          <w:ilvl w:val="0"/>
          <w:numId w:val="1012"/>
        </w:numPr>
        <w:pStyle w:val="Compact"/>
      </w:pPr>
      <w:r>
        <w:t xml:space="preserve">统计结论是否与纠正措施、管理评审输入形成对应关系，能否从图表一路追到措施与验证；</w:t>
      </w:r>
    </w:p>
    <w:p>
      <w:pPr>
        <w:numPr>
          <w:ilvl w:val="0"/>
          <w:numId w:val="1012"/>
        </w:numPr>
        <w:pStyle w:val="Compact"/>
      </w:pPr>
      <w:r>
        <w:t xml:space="preserve">原始数据是否可追溯：随机抽查一份分析报告，看能否调出原始数据、计算过程与复核签字；</w:t>
      </w:r>
    </w:p>
    <w:p>
      <w:pPr>
        <w:numPr>
          <w:ilvl w:val="0"/>
          <w:numId w:val="1012"/>
        </w:numPr>
        <w:pStyle w:val="Compact"/>
      </w:pPr>
      <w:r>
        <w:t xml:space="preserve">非正态、小样本、异常值等特殊情形是否有处理说明，是否做了无记录的数据剔除；</w:t>
      </w:r>
    </w:p>
    <w:p>
      <w:pPr>
        <w:numPr>
          <w:ilvl w:val="0"/>
          <w:numId w:val="1012"/>
        </w:numPr>
        <w:pStyle w:val="Compact"/>
      </w:pPr>
      <w:r>
        <w:t xml:space="preserve">抽样是否覆盖不同班次、设备与批次，是否存在只取</w:t>
      </w:r>
      <w:r>
        <w:t xml:space="preserve">“</w:t>
      </w:r>
      <w:r>
        <w:t xml:space="preserve">好做</w:t>
      </w:r>
      <w:r>
        <w:t xml:space="preserve">”</w:t>
      </w:r>
      <w:r>
        <w:t xml:space="preserve">的时点造成数据失真；</w:t>
      </w:r>
    </w:p>
    <w:p>
      <w:pPr>
        <w:numPr>
          <w:ilvl w:val="0"/>
          <w:numId w:val="1012"/>
        </w:numPr>
        <w:pStyle w:val="Compact"/>
      </w:pPr>
      <w:r>
        <w:t xml:space="preserve">培训与能力是否到位：使用控制图的人员能否正确说出所采用判异准则与处置流程；</w:t>
      </w:r>
    </w:p>
    <w:p>
      <w:pPr>
        <w:numPr>
          <w:ilvl w:val="0"/>
          <w:numId w:val="1012"/>
        </w:numPr>
        <w:pStyle w:val="Compact"/>
      </w:pPr>
      <w:r>
        <w:t xml:space="preserve">多场所、多产线数据口径是否一致，是否存在同一特性在各厂采用不同判定阈值的情况。</w:t>
      </w:r>
    </w:p>
    <w:p>
      <w:pPr>
        <w:pStyle w:val="FirstParagraph"/>
      </w:pPr>
      <w:r>
        <w:rPr>
          <w:b/>
        </w:rPr>
        <w:t xml:space="preserve">三、常见错误</w:t>
      </w:r>
    </w:p>
    <w:p>
      <w:pPr>
        <w:numPr>
          <w:ilvl w:val="0"/>
          <w:numId w:val="1013"/>
        </w:numPr>
        <w:pStyle w:val="Compact"/>
      </w:pPr>
      <w:r>
        <w:rPr>
          <w:b/>
        </w:rPr>
        <w:t xml:space="preserve">把规格限画在控制图上判异。</w:t>
      </w:r>
      <w:r>
        <w:t xml:space="preserve"> </w:t>
      </w:r>
      <w:r>
        <w:t xml:space="preserve">把 USL／LSL 当作 UCL／LCL 使用，控制图变成</w:t>
      </w:r>
      <w:r>
        <w:t xml:space="preserve">“</w:t>
      </w:r>
      <w:r>
        <w:t xml:space="preserve">公差图</w:t>
      </w:r>
      <w:r>
        <w:t xml:space="preserve">”</w:t>
      </w:r>
      <w:r>
        <w:t xml:space="preserve">，既看不出过程波动，也失去了预警能力。对策：明确控制限由过程数据计算得出，重算条件写入文件；培训中以实例说明两者的区别。</w:t>
      </w:r>
    </w:p>
    <w:p>
      <w:pPr>
        <w:numPr>
          <w:ilvl w:val="0"/>
          <w:numId w:val="1013"/>
        </w:numPr>
        <w:pStyle w:val="Compact"/>
      </w:pPr>
      <w:r>
        <w:rPr>
          <w:b/>
        </w:rPr>
        <w:t xml:space="preserve">数据来源不可信就急着算 Cpk。</w:t>
      </w:r>
      <w:r>
        <w:t xml:space="preserve"> </w:t>
      </w:r>
      <w:r>
        <w:t xml:space="preserve">量具分辨力不足、GRR 未做、测量者操作不一致，算出的 Cpk 只是测量系统的波动。对策：坚持 4.2.4 的量测系统先行原则，未通过 MSA 的数据不得用于能力判定。</w:t>
      </w:r>
    </w:p>
    <w:p>
      <w:pPr>
        <w:numPr>
          <w:ilvl w:val="0"/>
          <w:numId w:val="1013"/>
        </w:numPr>
        <w:pStyle w:val="Compact"/>
      </w:pPr>
      <w:r>
        <w:rPr>
          <w:b/>
        </w:rPr>
        <w:t xml:space="preserve">过程不受控时算能力指数。</w:t>
      </w:r>
      <w:r>
        <w:t xml:space="preserve"> </w:t>
      </w:r>
      <w:r>
        <w:t xml:space="preserve">过程尚在漂移或频繁异常，计算出的 Cp／Cpk 会随时间变化，结论无意义。对策：先做控制图确认受控，再进入能力分析，两者在记录上相互引用。</w:t>
      </w:r>
    </w:p>
    <w:p>
      <w:pPr>
        <w:numPr>
          <w:ilvl w:val="0"/>
          <w:numId w:val="1013"/>
        </w:numPr>
        <w:pStyle w:val="Compact"/>
      </w:pPr>
      <w:r>
        <w:rPr>
          <w:b/>
        </w:rPr>
        <w:t xml:space="preserve">只做柏拉图不二次分层。</w:t>
      </w:r>
      <w:r>
        <w:t xml:space="preserve"> </w:t>
      </w:r>
      <w:r>
        <w:t xml:space="preserve">得到</w:t>
      </w:r>
      <w:r>
        <w:t xml:space="preserve">“</w:t>
      </w:r>
      <w:r>
        <w:t xml:space="preserve">外观不良占 62%</w:t>
      </w:r>
      <w:r>
        <w:t xml:space="preserve">”</w:t>
      </w:r>
      <w:r>
        <w:t xml:space="preserve">就着手改善，却不知道是哪个机台、哪个班次造成。对策：主要问题项必须二次分层，把主因定位到可采取措施的层面。</w:t>
      </w:r>
    </w:p>
    <w:p>
      <w:pPr>
        <w:numPr>
          <w:ilvl w:val="0"/>
          <w:numId w:val="1013"/>
        </w:numPr>
        <w:pStyle w:val="Compact"/>
      </w:pPr>
      <w:r>
        <w:rPr>
          <w:b/>
        </w:rPr>
        <w:t xml:space="preserve">因果图填成口号墙。</w:t>
      </w:r>
      <w:r>
        <w:t xml:space="preserve"> </w:t>
      </w:r>
      <w:r>
        <w:t xml:space="preserve">末端原因写</w:t>
      </w:r>
      <w:r>
        <w:t xml:space="preserve">“</w:t>
      </w:r>
      <w:r>
        <w:t xml:space="preserve">责任心不强</w:t>
      </w:r>
      <w:r>
        <w:t xml:space="preserve">”</w:t>
      </w:r>
      <w:r>
        <w:t xml:space="preserve">“</w:t>
      </w:r>
      <w:r>
        <w:t xml:space="preserve">培训不够</w:t>
      </w:r>
      <w:r>
        <w:t xml:space="preserve">”</w:t>
      </w:r>
      <w:r>
        <w:t xml:space="preserve">“</w:t>
      </w:r>
      <w:r>
        <w:t xml:space="preserve">管理不严</w:t>
      </w:r>
      <w:r>
        <w:t xml:space="preserve">”</w:t>
      </w:r>
      <w:r>
        <w:t xml:space="preserve">，措施只能是开会强调，问题下月复现。对策：末端原因须落到具体可验证的事项，并用现场或数据验证，未验证的列为假设。</w:t>
      </w:r>
    </w:p>
    <w:p>
      <w:pPr>
        <w:numPr>
          <w:ilvl w:val="0"/>
          <w:numId w:val="1013"/>
        </w:numPr>
        <w:pStyle w:val="Compact"/>
      </w:pPr>
      <w:r>
        <w:rPr>
          <w:b/>
        </w:rPr>
        <w:t xml:space="preserve">相关当因果。</w:t>
      </w:r>
      <w:r>
        <w:t xml:space="preserve"> </w:t>
      </w:r>
      <w:r>
        <w:t xml:space="preserve">发现两个变量相关就调整工艺参数，可能忽略了共同的影响因素。对策：以技术合理性解释与调整后重测验证为前提，方可据相关性修改参数。</w:t>
      </w:r>
    </w:p>
    <w:p>
      <w:pPr>
        <w:numPr>
          <w:ilvl w:val="0"/>
          <w:numId w:val="1013"/>
        </w:numPr>
        <w:pStyle w:val="Compact"/>
      </w:pPr>
      <w:r>
        <w:rPr>
          <w:b/>
        </w:rPr>
        <w:t xml:space="preserve">数据不好看就换口径或删数据。</w:t>
      </w:r>
      <w:r>
        <w:t xml:space="preserve"> </w:t>
      </w:r>
      <w:r>
        <w:t xml:space="preserve">剔除</w:t>
      </w:r>
      <w:r>
        <w:t xml:space="preserve">“</w:t>
      </w:r>
      <w:r>
        <w:t xml:space="preserve">异常值</w:t>
      </w:r>
      <w:r>
        <w:t xml:space="preserve">”</w:t>
      </w:r>
      <w:r>
        <w:t xml:space="preserve">却不记录，或临时更换统计区间，短期数字漂亮，审核时无法追溯，且误导决策。对策：异常值双口径并列，删除与替换必须留原因与审批。</w:t>
      </w:r>
    </w:p>
    <w:p>
      <w:pPr>
        <w:numPr>
          <w:ilvl w:val="0"/>
          <w:numId w:val="1013"/>
        </w:numPr>
        <w:pStyle w:val="Compact"/>
      </w:pPr>
      <w:r>
        <w:rPr>
          <w:b/>
        </w:rPr>
        <w:t xml:space="preserve">图表与分析结论脱节。</w:t>
      </w:r>
      <w:r>
        <w:t xml:space="preserve"> </w:t>
      </w:r>
      <w:r>
        <w:t xml:space="preserve">报告里图很漂亮，结论栏只写</w:t>
      </w:r>
      <w:r>
        <w:t xml:space="preserve">“</w:t>
      </w:r>
      <w:r>
        <w:t xml:space="preserve">过程稳定，继续监控</w:t>
      </w:r>
      <w:r>
        <w:t xml:space="preserve">”</w:t>
      </w:r>
      <w:r>
        <w:t xml:space="preserve">，Cpk 已低于判定要求却无改进方向。对策：强制</w:t>
      </w:r>
      <w:r>
        <w:t xml:space="preserve">“</w:t>
      </w:r>
      <w:r>
        <w:t xml:space="preserve">三条结论</w:t>
      </w:r>
      <w:r>
        <w:t xml:space="preserve">”</w:t>
      </w:r>
      <w:r>
        <w:t xml:space="preserve">结构，事实、判断、行动齐全，否则退回重做。</w:t>
      </w:r>
    </w:p>
    <w:p>
      <w:pPr>
        <w:numPr>
          <w:ilvl w:val="0"/>
          <w:numId w:val="1013"/>
        </w:numPr>
        <w:pStyle w:val="Compact"/>
      </w:pPr>
      <w:r>
        <w:rPr>
          <w:b/>
        </w:rPr>
        <w:t xml:space="preserve">工具应用集中在质量部。</w:t>
      </w:r>
      <w:r>
        <w:t xml:space="preserve"> </w:t>
      </w:r>
      <w:r>
        <w:t xml:space="preserve">现场只能看到月底的一张纸，班组长不理解图上的点。对策：把控制图的绘制与判异响应放到现场，质量部转为技术指导与复核；判定准则以简版卡片形式张贴在工位。</w:t>
      </w:r>
    </w:p>
    <w:p>
      <w:pPr>
        <w:numPr>
          <w:ilvl w:val="0"/>
          <w:numId w:val="1013"/>
        </w:numPr>
        <w:pStyle w:val="Compact"/>
      </w:pPr>
      <w:r>
        <w:rPr>
          <w:b/>
        </w:rPr>
        <w:t xml:space="preserve">软件上线即视为落地。</w:t>
      </w:r>
      <w:r>
        <w:t xml:space="preserve"> </w:t>
      </w:r>
      <w:r>
        <w:t xml:space="preserve">装了 SPC 系统、屏幕上滚动着控制图，报警无人响应，数据不导出、不留存。对策：按 4.5.4 与 4.5.5 逐条核对系统设置与记录留存，把</w:t>
      </w:r>
      <w:r>
        <w:t xml:space="preserve">“</w:t>
      </w:r>
      <w:r>
        <w:t xml:space="preserve">报警后必须留痕</w:t>
      </w:r>
      <w:r>
        <w:t xml:space="preserve">”</w:t>
      </w:r>
      <w:r>
        <w:t xml:space="preserve">作为系统是否合格的验收条件。</w:t>
      </w:r>
    </w:p>
    <w:p>
      <w:pPr>
        <w:numPr>
          <w:ilvl w:val="0"/>
          <w:numId w:val="1013"/>
        </w:numPr>
        <w:pStyle w:val="Compact"/>
      </w:pPr>
      <w:r>
        <w:rPr>
          <w:b/>
        </w:rPr>
        <w:t xml:space="preserve">记录只留图表不留数据。</w:t>
      </w:r>
      <w:r>
        <w:t xml:space="preserve"> </w:t>
      </w:r>
      <w:r>
        <w:t xml:space="preserve">原始数据文件丢失，审核时无法复现计算。对策：原始数据、计算文件、导出图表三者同目录归档，命名规范统一。</w:t>
      </w:r>
    </w:p>
    <w:p>
      <w:pPr>
        <w:numPr>
          <w:ilvl w:val="0"/>
          <w:numId w:val="1013"/>
        </w:numPr>
        <w:pStyle w:val="Compact"/>
      </w:pPr>
      <w:r>
        <w:rPr>
          <w:b/>
        </w:rPr>
        <w:t xml:space="preserve">培训只教软件操作。</w:t>
      </w:r>
      <w:r>
        <w:t xml:space="preserve"> </w:t>
      </w:r>
      <w:r>
        <w:t xml:space="preserve">会点按钮但不会选择工具、不会判读。对策：考核内容包含工具选用与判读判断，采用真实数据案例测试，而不只是操作演练。</w:t>
      </w:r>
    </w:p>
    <w:p>
      <w:r>
        <w:pict>
          <v:rect style="width:0;height:1.5pt" o:hralign="center" o:hrstd="t" o:hr="t"/>
        </w:pict>
      </w:r>
    </w:p>
    <w:p>
      <w:pPr>
        <w:pStyle w:val="BlockText"/>
      </w:pPr>
      <w:r>
        <w:t xml:space="preserve">工具用对前提，图上才有结论</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2026-09-22T04:40:01Z</dcterms:created>
  <dcterms:modified xsi:type="dcterms:W3CDTF">2026-09-22T04:40:01Z</dcterms:modified>
</cp:coreProperties>
</file>

<file path=docProps/custom.xml><?xml version="1.0" encoding="utf-8"?>
<Properties xmlns="http://schemas.openxmlformats.org/officeDocument/2006/custom-properties" xmlns:vt="http://schemas.openxmlformats.org/officeDocument/2006/docPropsVTypes"/>
</file>