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年度质量目标分解与月度达成统计表"/>
      <w:r>
        <w:t xml:space="preserve">年度质量目标分解与月度达成统计表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：QR-QM-01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：《管理类》对应二级程序文件或三级作业指导书（QM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年度质量目标分解与月度达成统计表</w:t>
            </w:r>
          </w:p>
        </w:tc>
        <w:tc>
          <w:p>
            <w:pPr>
              <w:pStyle w:val="Compact"/>
              <w:jc w:val="left"/>
            </w:pPr>
            <w:r>
              <w:t xml:space="preserve">QR-QM-01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：序号｜公司级目标｜指标定义／计算公式｜目标值｜统计周期｜责任部门｜部门级分解值｜数据来源｜统计责任人｜1 月～12 月实际值｜累计达成率｜判定（达标／未达标）｜未达标原因与对策编号。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指标定义／计算公式</w:t>
      </w:r>
      <w:r>
        <w:t xml:space="preserve">”</w:t>
      </w:r>
      <w:r>
        <w:t xml:space="preserve">必须写清分子分母与统计口径，例如</w:t>
      </w:r>
      <w:r>
        <w:t xml:space="preserve">“</w:t>
      </w:r>
      <w:r>
        <w:t xml:space="preserve">一次交检合格率＝一次检验合格批次数÷送检总批次数×100%</w:t>
      </w:r>
      <w:r>
        <w:t xml:space="preserve">”</w:t>
      </w:r>
      <w:r>
        <w:t xml:space="preserve">，不允许只写名称；</w:t>
      </w:r>
    </w:p>
    <w:p>
      <w:pPr>
        <w:numPr>
          <w:ilvl w:val="0"/>
          <w:numId w:val="1001"/>
        </w:numPr>
      </w:pPr>
      <w:r>
        <w:t xml:space="preserve">目标值须可量化、可比较，避免</w:t>
      </w:r>
      <w:r>
        <w:t xml:space="preserve">“</w:t>
      </w:r>
      <w:r>
        <w:t xml:space="preserve">显著提升</w:t>
      </w:r>
      <w:r>
        <w:t xml:space="preserve">”</w:t>
      </w:r>
      <w:r>
        <w:t xml:space="preserve">“</w:t>
      </w:r>
      <w:r>
        <w:t xml:space="preserve">基本满意</w:t>
      </w:r>
      <w:r>
        <w:t xml:space="preserve">”</w:t>
      </w:r>
      <w:r>
        <w:t xml:space="preserve">类表述；</w:t>
      </w:r>
    </w:p>
    <w:p>
      <w:pPr>
        <w:numPr>
          <w:ilvl w:val="0"/>
          <w:numId w:val="1001"/>
        </w:numPr>
      </w:pPr>
      <w:r>
        <w:t xml:space="preserve">部门级分解值之和应不小于公司级目标，允许上调不允许下调；</w:t>
      </w:r>
    </w:p>
    <w:p>
      <w:pPr>
        <w:numPr>
          <w:ilvl w:val="0"/>
          <w:numId w:val="1001"/>
        </w:numPr>
      </w:pPr>
      <w:r>
        <w:t xml:space="preserve">每月 5 个工作日内完成上月数据填报，由体系办汇总后抄送管理者代表；</w:t>
      </w:r>
    </w:p>
    <w:p>
      <w:pPr>
        <w:numPr>
          <w:ilvl w:val="0"/>
          <w:numId w:val="1001"/>
        </w:numPr>
      </w:pPr>
      <w:r>
        <w:t xml:space="preserve">连续两月未达标或累计达成率低于目标值 95% 时，必须触发纠正措施单并填写其编号。</w:t>
      </w:r>
    </w:p>
    <w:p>
      <w:pPr>
        <w:pStyle w:val="FirstParagraph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公司级目标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指标公式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目标值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分解值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数据来源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9 月实际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累计达成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产品一次交检合格率</w:t>
            </w:r>
          </w:p>
        </w:tc>
        <w:tc>
          <w:p>
            <w:pPr>
              <w:pStyle w:val="Compact"/>
              <w:jc w:val="left"/>
            </w:pPr>
            <w:r>
              <w:t xml:space="preserve">一次合格批次÷送检批次×100%</w:t>
            </w:r>
          </w:p>
        </w:tc>
        <w:tc>
          <w:p>
            <w:pPr>
              <w:pStyle w:val="Compact"/>
              <w:jc w:val="left"/>
            </w:pPr>
            <w:r>
              <w:t xml:space="preserve">≥ 98.5%</w:t>
            </w:r>
          </w:p>
        </w:tc>
        <w:tc>
          <w:p>
            <w:pPr>
              <w:pStyle w:val="Compact"/>
              <w:jc w:val="left"/>
            </w:pPr>
            <w:r>
              <w:t xml:space="preserve">质量部／生产部</w:t>
            </w:r>
          </w:p>
        </w:tc>
        <w:tc>
          <w:p>
            <w:pPr>
              <w:pStyle w:val="Compact"/>
              <w:jc w:val="left"/>
            </w:pPr>
            <w:r>
              <w:t xml:space="preserve">生产一车间 ≥ 98.0%、二车间 ≥ 98.5%</w:t>
            </w:r>
          </w:p>
        </w:tc>
        <w:tc>
          <w:p>
            <w:pPr>
              <w:pStyle w:val="Compact"/>
              <w:jc w:val="left"/>
            </w:pPr>
            <w:r>
              <w:t xml:space="preserve">检验台账、ERP 报工</w:t>
            </w:r>
          </w:p>
        </w:tc>
        <w:tc>
          <w:p>
            <w:pPr>
              <w:pStyle w:val="Compact"/>
              <w:jc w:val="left"/>
            </w:pPr>
            <w:r>
              <w:t xml:space="preserve">98.2%</w:t>
            </w:r>
          </w:p>
        </w:tc>
        <w:tc>
          <w:p>
            <w:pPr>
              <w:pStyle w:val="Compact"/>
              <w:jc w:val="left"/>
            </w:pPr>
            <w:r>
              <w:t xml:space="preserve">98.6%</w:t>
            </w:r>
          </w:p>
        </w:tc>
        <w:tc>
          <w:p>
            <w:pPr>
              <w:pStyle w:val="Compact"/>
              <w:jc w:val="left"/>
            </w:pPr>
            <w:r>
              <w:t xml:space="preserve">达标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客户投诉响应及时率</w:t>
            </w:r>
          </w:p>
        </w:tc>
        <w:tc>
          <w:p>
            <w:pPr>
              <w:pStyle w:val="Compact"/>
              <w:jc w:val="left"/>
            </w:pPr>
            <w:r>
              <w:t xml:space="preserve">24 小时内响应件数÷投诉总件数×100%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销售部／质量部</w:t>
            </w:r>
          </w:p>
        </w:tc>
        <w:tc>
          <w:p>
            <w:pPr>
              <w:pStyle w:val="Compact"/>
              <w:jc w:val="left"/>
            </w:pPr>
            <w:r>
              <w:t xml:space="preserve">销售部 100%</w:t>
            </w:r>
          </w:p>
        </w:tc>
        <w:tc>
          <w:p>
            <w:pPr>
              <w:pStyle w:val="Compact"/>
              <w:jc w:val="left"/>
            </w:pPr>
            <w:r>
              <w:t xml:space="preserve">投诉台账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达标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关键设备故障停机时长</w:t>
            </w:r>
          </w:p>
        </w:tc>
        <w:tc>
          <w:p>
            <w:pPr>
              <w:pStyle w:val="Compact"/>
              <w:jc w:val="left"/>
            </w:pPr>
            <w:r>
              <w:t xml:space="preserve">月度累计停机小时数</w:t>
            </w:r>
          </w:p>
        </w:tc>
        <w:tc>
          <w:p>
            <w:pPr>
              <w:pStyle w:val="Compact"/>
              <w:jc w:val="left"/>
            </w:pPr>
            <w:r>
              <w:t xml:space="preserve">≤ 8 小时／月</w:t>
            </w:r>
          </w:p>
        </w:tc>
        <w:tc>
          <w:p>
            <w:pPr>
              <w:pStyle w:val="Compact"/>
              <w:jc w:val="left"/>
            </w:pPr>
            <w:r>
              <w:t xml:space="preserve">设备部</w:t>
            </w:r>
          </w:p>
        </w:tc>
        <w:tc>
          <w:p>
            <w:pPr>
              <w:pStyle w:val="Compact"/>
              <w:jc w:val="left"/>
            </w:pPr>
            <w:r>
              <w:t xml:space="preserve">设备部 ≤ 8 小时</w:t>
            </w:r>
          </w:p>
        </w:tc>
        <w:tc>
          <w:p>
            <w:pPr>
              <w:pStyle w:val="Compact"/>
              <w:jc w:val="left"/>
            </w:pPr>
            <w:r>
              <w:t xml:space="preserve">设备维修记录</w:t>
            </w:r>
          </w:p>
        </w:tc>
        <w:tc>
          <w:p>
            <w:pPr>
              <w:pStyle w:val="Compact"/>
              <w:jc w:val="left"/>
            </w:pPr>
            <w:r>
              <w:t xml:space="preserve">11 小时</w:t>
            </w:r>
          </w:p>
        </w:tc>
        <w:tc>
          <w:p>
            <w:pPr>
              <w:pStyle w:val="Compact"/>
              <w:jc w:val="left"/>
            </w:pPr>
            <w:r>
              <w:t xml:space="preserve">9.4 小时</w:t>
            </w:r>
          </w:p>
        </w:tc>
        <w:tc>
          <w:p>
            <w:pPr>
              <w:pStyle w:val="Compact"/>
              <w:jc w:val="left"/>
            </w:pPr>
            <w:r>
              <w:t xml:space="preserve">未达标（CA-2026-014）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