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管理评审计划"/>
      <w:r>
        <w:t xml:space="preserve">管理评审计划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：QR-QM-02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：《ISO9001体系文件套包（48）｜管理类记录表单模板》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：《管理类》对应二级程序文件或三级作业指导书（QM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管理评审计划</w:t>
            </w:r>
          </w:p>
        </w:tc>
        <w:tc>
          <w:p>
            <w:pPr>
              <w:pStyle w:val="Compact"/>
              <w:jc w:val="left"/>
            </w:pPr>
            <w:r>
              <w:t xml:space="preserve">QR-QM-02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  <w:r>
        <w:t xml:space="preserve">：评审年度｜评审日期与时段｜地点／形式（现场／视频）｜主持人｜参加人员及签到栏｜评审目的｜评审依据（标准条款、程序文件、客户及法规要求）｜评审输入项清单及各自责任人、提交截止日期｜会议议程与时间分配｜输出要求（决议事项、资源需求、改进机会）｜审批签字栏｜发放范围。</w:t>
      </w:r>
    </w:p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1"/>
        </w:numPr>
      </w:pPr>
      <w:r>
        <w:t xml:space="preserve">输入项至少覆盖 9.3.2 全部条款，逐条对应到具体责任人与提交时限，避免会上临时找数据；</w:t>
      </w:r>
    </w:p>
    <w:p>
      <w:pPr>
        <w:numPr>
          <w:ilvl w:val="0"/>
          <w:numId w:val="1001"/>
        </w:numPr>
      </w:pPr>
      <w:r>
        <w:t xml:space="preserve">计划应在评审会前 10 个工作日发放至参会人，会前 3 个工作日收齐输入材料；</w:t>
      </w:r>
    </w:p>
    <w:p>
      <w:pPr>
        <w:numPr>
          <w:ilvl w:val="0"/>
          <w:numId w:val="1001"/>
        </w:numPr>
      </w:pPr>
      <w:r>
        <w:t xml:space="preserve">参加人员必须包含与议题相关的部门负责人，总经理与管理代表为必到人员；</w:t>
      </w:r>
    </w:p>
    <w:p>
      <w:pPr>
        <w:numPr>
          <w:ilvl w:val="0"/>
          <w:numId w:val="1001"/>
        </w:numPr>
      </w:pPr>
      <w:r>
        <w:t xml:space="preserve">评审频次至少每年一次，出现重大质量事故、客户批量投诉、组织架构重大变更时应加开临时评审。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2026-10-09T05:20:19Z</dcterms:created>
  <dcterms:modified xsi:type="dcterms:W3CDTF">2026-10-09T05:20:19Z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