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内审检查表"/>
      <w:r>
        <w:t xml:space="preserve">内审检查表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：QR-AU-02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：《ISO9001体系文件套包（48）｜管理类记录表单模板》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：《管理类》对应二级程序文件或三级作业指导书（AU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内审检查表</w:t>
            </w:r>
          </w:p>
        </w:tc>
        <w:tc>
          <w:p>
            <w:pPr>
              <w:pStyle w:val="Compact"/>
              <w:jc w:val="left"/>
            </w:pPr>
            <w:r>
              <w:t xml:space="preserve">QR-AU-02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受审部门｜条款号｜审核员｜日期｜检查项目（条款要求转化为提问）｜审核方法（问／查／看／测）｜抽样对象与数量｜客观证据（记录名称及编号）｜符合性判定（符合／不符合／观察项／不适用）｜不符合事实描述｜编号引用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检查项目以</w:t>
      </w:r>
      <w:r>
        <w:t xml:space="preserve">“</w:t>
      </w:r>
      <w:r>
        <w:t xml:space="preserve">提问式</w:t>
      </w:r>
      <w:r>
        <w:t xml:space="preserve">”</w:t>
      </w:r>
      <w:r>
        <w:t xml:space="preserve">写，避免直接抄标准条款；例如针对 7.5.3 写</w:t>
      </w:r>
      <w:r>
        <w:t xml:space="preserve">“</w:t>
      </w:r>
      <w:r>
        <w:t xml:space="preserve">请出示最近三次文件更改的申请、审批与发放记录，说明旧版如何回收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t xml:space="preserve">抽样宜覆盖三个不同时段或不同班组，避免只查一份</w:t>
      </w:r>
      <w:r>
        <w:t xml:space="preserve">“</w:t>
      </w:r>
      <w:r>
        <w:t xml:space="preserve">样板记录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t xml:space="preserve">客观证据必须写明记录名称、编号、日期，写</w:t>
      </w:r>
      <w:r>
        <w:t xml:space="preserve">“</w:t>
      </w:r>
      <w:r>
        <w:t xml:space="preserve">查见若干记录</w:t>
      </w:r>
      <w:r>
        <w:t xml:space="preserve">”</w:t>
      </w:r>
      <w:r>
        <w:t xml:space="preserve">属无效证据；</w:t>
      </w:r>
    </w:p>
    <w:p>
      <w:pPr>
        <w:numPr>
          <w:ilvl w:val="0"/>
          <w:numId w:val="1001"/>
        </w:numPr>
      </w:pPr>
      <w:r>
        <w:t xml:space="preserve">检查表为过程记录，须随内审报告一并归档，不得事后补做。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2026-10-09T05:20:19Z</dcterms:created>
  <dcterms:modified xsi:type="dcterms:W3CDTF">2026-10-09T05:20:19Z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