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内审报告"/>
      <w:r>
        <w:t xml:space="preserve">内审报告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：QR-AU-04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：《ISO9001体系文件套包（48）｜管理类记录表单模板》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：《管理类》对应二级程序文件或三级作业指导书（AU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内审报告</w:t>
            </w:r>
          </w:p>
        </w:tc>
        <w:tc>
          <w:p>
            <w:pPr>
              <w:pStyle w:val="Compact"/>
              <w:jc w:val="left"/>
            </w:pPr>
            <w:r>
              <w:t xml:space="preserve">QR-AU-04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  <w:r>
        <w:t xml:space="preserve">：审核编号｜审核目的、范围、准则｜审核日期｜审核组与受审方代表｜审核过程概述（覆盖部门、条款、抽样量）｜审核发现汇总（符合项亮点、不符合项编号列表及分布）｜体系有效性评价｜上次审核不符合项整改情况｜结论与建议｜报告分发范围｜审批栏。</w:t>
      </w:r>
    </w:p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1"/>
        </w:numPr>
      </w:pPr>
      <w:r>
        <w:t xml:space="preserve">不符合项分布宜用表格按部门×条款交叉呈现，便于看出薄弱环节集中在哪里；</w:t>
      </w:r>
    </w:p>
    <w:p>
      <w:pPr>
        <w:numPr>
          <w:ilvl w:val="0"/>
          <w:numId w:val="1001"/>
        </w:numPr>
      </w:pPr>
      <w:r>
        <w:t xml:space="preserve">结论应回答</w:t>
      </w:r>
      <w:r>
        <w:t xml:space="preserve">“</w:t>
      </w:r>
      <w:r>
        <w:t xml:space="preserve">体系是否持续符合并有效实施</w:t>
      </w:r>
      <w:r>
        <w:t xml:space="preserve">”</w:t>
      </w:r>
      <w:r>
        <w:t xml:space="preserve">，并对未覆盖的条款说明原因；</w:t>
      </w:r>
    </w:p>
    <w:p>
      <w:pPr>
        <w:numPr>
          <w:ilvl w:val="0"/>
          <w:numId w:val="1001"/>
        </w:numPr>
      </w:pPr>
      <w:r>
        <w:t xml:space="preserve">报告在末次会议后 5 个工作日内完成，与检查表、不符合项报告作为一套证据归档。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2026-10-09T05:20:19Z</dcterms:created>
  <dcterms:modified xsi:type="dcterms:W3CDTF">2026-10-09T05:20:19Z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