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设备故障与维修记录"/>
      <w:r>
        <w:t xml:space="preserve">设备故障与维修记录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：QR-EQ-04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：《ISO9001体系文件套包（50）｜设备计量类记录表单模板》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：《设备计量类》对应二级程序文件或三级作业指导书（EQ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设备故障与维修记录</w:t>
            </w:r>
          </w:p>
        </w:tc>
        <w:tc>
          <w:p>
            <w:pPr>
              <w:pStyle w:val="Compact"/>
              <w:jc w:val="left"/>
            </w:pPr>
            <w:r>
              <w:t xml:space="preserve">QR-EQ-04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报修单号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建议</w:t>
            </w:r>
            <w:r>
              <w:t xml:space="preserve">“</w:t>
            </w:r>
            <w:r>
              <w:t xml:space="preserve">WX＋月日＋流水</w:t>
            </w:r>
            <w:r>
              <w:t xml:space="preserve">”</w:t>
            </w:r>
            <w:r>
              <w:t xml:space="preserve">，与点检表异常栏互引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设备编号／名称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与台账一致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故障发生时间／恢复时间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用于统计停机时长与 MTBF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故障现象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客观描述，如</w:t>
            </w:r>
            <w:r>
              <w:t xml:space="preserve">“</w:t>
            </w:r>
            <w:r>
              <w:t xml:space="preserve">主轴启动报警 AL-31，无法换刀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故障部位与原因分析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区分直接原因与根本原因，涉及重复故障须用 5Why 或鱼骨图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影响评估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是否造成产品报废、返工、交付延误；受影响批号、数量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临时措施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更换备件、参数调整、切换备用设备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纠正措施与责任人／完成期限</w:t>
            </w:r>
          </w:p>
        </w:tc>
        <w:tc>
          <w:p>
            <w:pPr>
              <w:pStyle w:val="Compact"/>
              <w:jc w:val="left"/>
            </w:pPr>
            <w:r>
              <w:t xml:space="preserve">重复故障必填</w:t>
            </w:r>
          </w:p>
        </w:tc>
        <w:tc>
          <w:p>
            <w:pPr>
              <w:pStyle w:val="Compact"/>
              <w:jc w:val="left"/>
            </w:pPr>
            <w:r>
              <w:t xml:space="preserve">如修订点检项目、调整保养周期、加装防护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验证与关闭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连续运行时长或批量验证结果，签署关闭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停机时长与费用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供设备综合效率与成本分析使用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5000.0"/>
        <w:tblLook w:firstRow="1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报修单号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设备编号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故障现象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根本原因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影响评估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纠正措施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停机时长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验证与关闭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WX-0312-02</w:t>
            </w:r>
          </w:p>
        </w:tc>
        <w:tc>
          <w:p>
            <w:pPr>
              <w:pStyle w:val="Compact"/>
              <w:jc w:val="left"/>
            </w:pPr>
            <w:r>
              <w:t xml:space="preserve">A-CNC-007</w:t>
            </w:r>
          </w:p>
        </w:tc>
        <w:tc>
          <w:p>
            <w:pPr>
              <w:pStyle w:val="Compact"/>
              <w:jc w:val="left"/>
            </w:pPr>
            <w:r>
              <w:t xml:space="preserve">液压油温高报警停机</w:t>
            </w:r>
          </w:p>
        </w:tc>
        <w:tc>
          <w:p>
            <w:pPr>
              <w:pStyle w:val="Compact"/>
              <w:jc w:val="left"/>
            </w:pPr>
            <w:r>
              <w:t xml:space="preserve">冷却器翅片积屑堵塞致散热不足</w:t>
            </w:r>
          </w:p>
        </w:tc>
        <w:tc>
          <w:p>
            <w:pPr>
              <w:pStyle w:val="Compact"/>
              <w:jc w:val="left"/>
            </w:pPr>
            <w:r>
              <w:t xml:space="preserve">当班 12 件半成品待检</w:t>
            </w:r>
          </w:p>
        </w:tc>
        <w:tc>
          <w:p>
            <w:pPr>
              <w:pStyle w:val="Compact"/>
              <w:jc w:val="left"/>
            </w:pPr>
            <w:r>
              <w:t xml:space="preserve">清洗冷却器；点检表增列</w:t>
            </w:r>
            <w:r>
              <w:t xml:space="preserve">“</w:t>
            </w:r>
            <w:r>
              <w:t xml:space="preserve">冷却器翅片清洁</w:t>
            </w:r>
            <w:r>
              <w:t xml:space="preserve">”</w:t>
            </w:r>
            <w:r>
              <w:t xml:space="preserve">项</w:t>
            </w:r>
          </w:p>
        </w:tc>
        <w:tc>
          <w:p>
            <w:pPr>
              <w:pStyle w:val="Compact"/>
              <w:jc w:val="left"/>
            </w:pPr>
            <w:r>
              <w:t xml:space="preserve">2.5 小时</w:t>
            </w:r>
          </w:p>
        </w:tc>
        <w:tc>
          <w:p>
            <w:pPr>
              <w:pStyle w:val="Compact"/>
              <w:jc w:val="left"/>
            </w:pPr>
            <w:r>
              <w:t xml:space="preserve">连续 3 天油温 ≤ 52 ℃，3 月 17 日关闭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维修记录的核心价值在原因分析与措施闭环，只写</w:t>
      </w:r>
      <w:r>
        <w:t xml:space="preserve">“</w:t>
      </w:r>
      <w:r>
        <w:t xml:space="preserve">已修复</w:t>
      </w:r>
      <w:r>
        <w:t xml:space="preserve">”</w:t>
      </w:r>
      <w:r>
        <w:t xml:space="preserve">的记录在审核中价值极低；</w:t>
      </w:r>
    </w:p>
    <w:p>
      <w:pPr>
        <w:numPr>
          <w:ilvl w:val="0"/>
          <w:numId w:val="1001"/>
        </w:numPr>
      </w:pPr>
      <w:r>
        <w:t xml:space="preserve">同一设备同类故障 12 个月内出现两次以上，应触发纠正措施并考虑纳入管理评审输入；</w:t>
      </w:r>
    </w:p>
    <w:p>
      <w:pPr>
        <w:numPr>
          <w:ilvl w:val="0"/>
          <w:numId w:val="1001"/>
        </w:numPr>
      </w:pPr>
      <w:r>
        <w:t xml:space="preserve">因设备故障导致的已放行产品受影响时，须与《不合格品控制程序》联动，填写不合格品处置记录并做追溯评价；</w:t>
      </w:r>
    </w:p>
    <w:p>
      <w:pPr>
        <w:numPr>
          <w:ilvl w:val="0"/>
          <w:numId w:val="1001"/>
        </w:numPr>
      </w:pPr>
      <w:r>
        <w:t xml:space="preserve">维修后涉及精度恢复的，应安排校准或精度确认后再投入生产，并在记录中注明确认依据。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2026-10-09T05:20:20Z</dcterms:created>
  <dcterms:modified xsi:type="dcterms:W3CDTF">2026-10-09T05:20:20Z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