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计量器具台账"/>
      <w:r>
        <w:t xml:space="preserve">计量器具台账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：QR-ME-01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：《ISO9001体系文件套包（50）｜设备计量类记录表单模板》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：《设备计量类》对应二级程序文件或三级作业指导书（ME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计量器具台账</w:t>
            </w:r>
          </w:p>
        </w:tc>
        <w:tc>
          <w:p>
            <w:pPr>
              <w:pStyle w:val="Compact"/>
              <w:jc w:val="left"/>
            </w:pPr>
            <w:r>
              <w:t xml:space="preserve">QR-ME-01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内部唯一编号，建议</w:t>
            </w:r>
            <w:r>
              <w:t xml:space="preserve">“</w:t>
            </w:r>
            <w:r>
              <w:t xml:space="preserve">类别＋流水</w:t>
            </w:r>
            <w:r>
              <w:t xml:space="preserve">”</w:t>
            </w:r>
            <w:r>
              <w:t xml:space="preserve">，如 LK-0007（卡尺类第 7 件）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器具名称／型号规格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如数显游标卡尺 0～150 mm、分辨率 0.01 mm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制造商／出厂编号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与证书对应，便于校准机构核对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测量范围与准确度等级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与工艺公差匹配性判定的基础数据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校准方式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外校／内校／检定；外校注明机构名称与资质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校准周期与下次到期日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到期日为管控红线，须与校准计划一致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用于何工序／检何特性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写清使用位置，超差追溯时才知影响范围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领用部门与保管人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到岗位；共用器具指定日常保管责任人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状态与标识颜色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合格（绿）／限用（黄）／停用（红）／封存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溯源方式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溯源到国家或国际测量标准的具体路径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报废或降级记录</w:t>
            </w:r>
          </w:p>
        </w:tc>
        <w:tc>
          <w:p>
            <w:pPr>
              <w:pStyle w:val="Compact"/>
              <w:jc w:val="left"/>
            </w:pPr>
            <w:r>
              <w:t xml:space="preserve">有则填</w:t>
            </w:r>
          </w:p>
        </w:tc>
        <w:tc>
          <w:p>
            <w:pPr>
              <w:pStyle w:val="Compact"/>
              <w:jc w:val="left"/>
            </w:pPr>
            <w:r>
              <w:t xml:space="preserve">日期、原因、审批人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器具名称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型号规格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校准方式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校准周期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下次到期日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使用工序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保管人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状态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LK-0007</w:t>
            </w:r>
          </w:p>
        </w:tc>
        <w:tc>
          <w:p>
            <w:pPr>
              <w:pStyle w:val="Compact"/>
              <w:jc w:val="left"/>
            </w:pPr>
            <w:r>
              <w:t xml:space="preserve">数显游标卡尺</w:t>
            </w:r>
          </w:p>
        </w:tc>
        <w:tc>
          <w:p>
            <w:pPr>
              <w:pStyle w:val="Compact"/>
              <w:jc w:val="left"/>
            </w:pPr>
            <w:r>
              <w:t xml:space="preserve">0～150 mm／0.01 mm</w:t>
            </w:r>
          </w:p>
        </w:tc>
        <w:tc>
          <w:p>
            <w:pPr>
              <w:pStyle w:val="Compact"/>
              <w:jc w:val="left"/>
            </w:pPr>
            <w:r>
              <w:t xml:space="preserve">外校</w:t>
            </w:r>
          </w:p>
        </w:tc>
        <w:tc>
          <w:p>
            <w:pPr>
              <w:pStyle w:val="Compact"/>
              <w:jc w:val="left"/>
            </w:pPr>
            <w:r>
              <w:t xml:space="preserve">12 个月</w:t>
            </w:r>
          </w:p>
        </w:tc>
        <w:tc>
          <w:p>
            <w:pPr>
              <w:pStyle w:val="Compact"/>
              <w:jc w:val="left"/>
            </w:pPr>
            <w:r>
              <w:t xml:space="preserve">2027-03-15</w:t>
            </w:r>
          </w:p>
        </w:tc>
        <w:tc>
          <w:p>
            <w:pPr>
              <w:pStyle w:val="Compact"/>
              <w:jc w:val="left"/>
            </w:pPr>
            <w:r>
              <w:t xml:space="preserve">精车工序外径检验</w:t>
            </w:r>
          </w:p>
        </w:tc>
        <w:tc>
          <w:p>
            <w:pPr>
              <w:pStyle w:val="Compact"/>
              <w:jc w:val="left"/>
            </w:pPr>
            <w:r>
              <w:t xml:space="preserve">检验组陈某</w:t>
            </w:r>
          </w:p>
        </w:tc>
        <w:tc>
          <w:p>
            <w:pPr>
              <w:pStyle w:val="Compact"/>
              <w:jc w:val="left"/>
            </w:pPr>
            <w:r>
              <w:t xml:space="preserve">合格（绿标）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台账字段中</w:t>
      </w:r>
      <w:r>
        <w:t xml:space="preserve">“</w:t>
      </w:r>
      <w:r>
        <w:t xml:space="preserve">用于何工序、检何特性</w:t>
      </w:r>
      <w:r>
        <w:t xml:space="preserve">”</w:t>
      </w:r>
      <w:r>
        <w:t xml:space="preserve">最容易被省略，却是超差后判断追溯范围的关键，务必填全；</w:t>
      </w:r>
    </w:p>
    <w:p>
      <w:pPr>
        <w:numPr>
          <w:ilvl w:val="0"/>
          <w:numId w:val="1001"/>
        </w:numPr>
      </w:pPr>
      <w:r>
        <w:t xml:space="preserve">校准周期不是一律 12 个月，可按器具稳定性、使用频次、历史超差记录分级设定，并保留分级依据；</w:t>
      </w:r>
    </w:p>
    <w:p>
      <w:pPr>
        <w:numPr>
          <w:ilvl w:val="0"/>
          <w:numId w:val="1001"/>
        </w:numPr>
      </w:pPr>
      <w:r>
        <w:t xml:space="preserve">同一规格多件器具合账登记时，须做到一件一行一编号，不得</w:t>
      </w:r>
      <w:r>
        <w:t xml:space="preserve">“</w:t>
      </w:r>
      <w:r>
        <w:t xml:space="preserve">卡尺若干把</w:t>
      </w:r>
      <w:r>
        <w:t xml:space="preserve">”</w:t>
      </w:r>
      <w:r>
        <w:t xml:space="preserve">合并一行；</w:t>
      </w:r>
    </w:p>
    <w:p>
      <w:pPr>
        <w:numPr>
          <w:ilvl w:val="0"/>
          <w:numId w:val="1001"/>
        </w:numPr>
      </w:pPr>
      <w:r>
        <w:t xml:space="preserve">新购器具入库即建账并登记首次校准结论，未校准前不得贴合格标识；</w:t>
      </w:r>
    </w:p>
    <w:p>
      <w:pPr>
        <w:numPr>
          <w:ilvl w:val="0"/>
          <w:numId w:val="1001"/>
        </w:numPr>
      </w:pPr>
      <w:r>
        <w:t xml:space="preserve">到期日应设置提前预警（一般提前 15～30 天），避免到期当周才发现无处送检。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2026-10-09T05:20:20Z</dcterms:created>
  <dcterms:modified xsi:type="dcterms:W3CDTF">2026-10-09T05:20:20Z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