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计量器具校准计划"/>
      <w:r>
        <w:t xml:space="preserve">计量器具校准计划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：QR-ME-02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：《ISO9001体系文件套包（50）｜设备计量类记录表单模板》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：《设备计量类》对应二级程序文件或三级作业指导书（ME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计量器具校准计划</w:t>
            </w:r>
          </w:p>
        </w:tc>
        <w:tc>
          <w:p>
            <w:pPr>
              <w:pStyle w:val="Compact"/>
              <w:jc w:val="left"/>
            </w:pPr>
            <w:r>
              <w:t xml:space="preserve">QR-ME-02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年度／月份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按月分栏，把到期日摊平到全年，避免集中到期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器具编号／名称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与器具台账一致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上次校准日期与证书号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供追溯与机构查询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本次计划校准日期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控制在到期日前若干工作日内完成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校准方式与机构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外校机构名称／内校标准器编号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送检责任人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到岗位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实际完成日期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未按期完成须填延期原因与补检安排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证书接收与结论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合格／不合格／限用，并注明确认人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备用器具安排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送检期间替代方案，避免停检或凭手感判断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月份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上次校准日期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本次计划日期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校准机构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备用方案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实际完成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结论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 月</w:t>
            </w:r>
          </w:p>
        </w:tc>
        <w:tc>
          <w:p>
            <w:pPr>
              <w:pStyle w:val="Compact"/>
              <w:jc w:val="left"/>
            </w:pPr>
            <w:r>
              <w:t xml:space="preserve">LK-0007</w:t>
            </w:r>
          </w:p>
        </w:tc>
        <w:tc>
          <w:p>
            <w:pPr>
              <w:pStyle w:val="Compact"/>
              <w:jc w:val="left"/>
            </w:pPr>
            <w:r>
              <w:t xml:space="preserve">2026-03-16</w:t>
            </w:r>
          </w:p>
        </w:tc>
        <w:tc>
          <w:p>
            <w:pPr>
              <w:pStyle w:val="Compact"/>
              <w:jc w:val="left"/>
            </w:pPr>
            <w:r>
              <w:t xml:space="preserve">2027-03-10</w:t>
            </w:r>
          </w:p>
        </w:tc>
        <w:tc>
          <w:p>
            <w:pPr>
              <w:pStyle w:val="Compact"/>
              <w:jc w:val="left"/>
            </w:pPr>
            <w:r>
              <w:t xml:space="preserve">某第三方校准机构</w:t>
            </w:r>
          </w:p>
        </w:tc>
        <w:tc>
          <w:p>
            <w:pPr>
              <w:pStyle w:val="Compact"/>
              <w:jc w:val="left"/>
            </w:pPr>
            <w:r>
              <w:t xml:space="preserve">启用备用卡尺 LK-0012</w:t>
            </w:r>
          </w:p>
        </w:tc>
        <w:tc>
          <w:p>
            <w:pPr>
              <w:pStyle w:val="Compact"/>
              <w:jc w:val="left"/>
            </w:pPr>
            <w:r>
              <w:t xml:space="preserve">2027-03-09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计划应把全厂到期日按季度摊平，防止出现</w:t>
      </w:r>
      <w:r>
        <w:t xml:space="preserve">“</w:t>
      </w:r>
      <w:r>
        <w:t xml:space="preserve">某月集中送检、车间无尺可用</w:t>
      </w:r>
      <w:r>
        <w:t xml:space="preserve">”</w:t>
      </w:r>
      <w:r>
        <w:t xml:space="preserve">的局面；</w:t>
      </w:r>
    </w:p>
    <w:p>
      <w:pPr>
        <w:numPr>
          <w:ilvl w:val="0"/>
          <w:numId w:val="1001"/>
        </w:numPr>
      </w:pPr>
      <w:r>
        <w:t xml:space="preserve">送检期间必须有可用的替代器具，且替代器具同样在有效期内，方案要写进计划而不是临时决定；</w:t>
      </w:r>
    </w:p>
    <w:p>
      <w:pPr>
        <w:numPr>
          <w:ilvl w:val="0"/>
          <w:numId w:val="1001"/>
        </w:numPr>
      </w:pPr>
      <w:r>
        <w:t xml:space="preserve">内校须使用在有效期内的标准器，其溯源链完整可查；</w:t>
      </w:r>
    </w:p>
    <w:p>
      <w:pPr>
        <w:numPr>
          <w:ilvl w:val="0"/>
          <w:numId w:val="1001"/>
        </w:numPr>
      </w:pPr>
      <w:r>
        <w:t xml:space="preserve">未按期校准的器具应立即停用并挂红牌，在计划表中如实登记，不得倒填日期。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