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合格供方名录"/>
      <w:r>
        <w:t xml:space="preserve">合格供方名录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：QR-SC-03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：《ISO9001体系文件套包（51）｜供方采购类记录表单模板》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：《供方采购类》对应二级程序文件或三级作业指导书（SC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合格供方名录</w:t>
            </w:r>
          </w:p>
        </w:tc>
        <w:tc>
          <w:p>
            <w:pPr>
              <w:pStyle w:val="Compact"/>
              <w:jc w:val="left"/>
            </w:pPr>
            <w:r>
              <w:t xml:space="preserve">QR-SC-03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序号／供方编号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与评价表编号一致，全厂唯一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与营业执照一致；改名时保留原名并注明变更日期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制造商／贸易商／服务商／施工方／校准或检测机构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供货范围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物料或服务名称、规格、对应工序；一项供方供多类物料时分行登记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A／B／C，与年度绩效评价结果一致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评价结论与评价日期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指向 QR-SC-02 评价编号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下次复评日期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A 级 12 个月、B 级 6～12 个月、C 级 3～6 个月，按程序规定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体系认证与有效期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证书编号与到期日，到期前 30 天提醒供方更新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联系人及电话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到岗位与常用联系方式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控制措施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免检／常规抽检／加严抽检／全检；有特殊要求的写明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正常／限购／暂停／淘汰待清理，状态变更须注明依据与生效日期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独家供应、限某工序使用、限采购金额等限制条件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供货范围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下次复评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控制措施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GYS-0012</w:t>
            </w:r>
          </w:p>
        </w:tc>
        <w:tc>
          <w:p>
            <w:pPr>
              <w:pStyle w:val="Compact"/>
              <w:jc w:val="left"/>
            </w:pPr>
            <w:r>
              <w:t xml:space="preserve">某塑料制品公司</w:t>
            </w:r>
          </w:p>
        </w:tc>
        <w:tc>
          <w:p>
            <w:pPr>
              <w:pStyle w:val="Compact"/>
              <w:jc w:val="left"/>
            </w:pPr>
            <w:r>
              <w:t xml:space="preserve">制造商</w:t>
            </w:r>
          </w:p>
        </w:tc>
        <w:tc>
          <w:p>
            <w:pPr>
              <w:pStyle w:val="Compact"/>
              <w:jc w:val="left"/>
            </w:pPr>
            <w:r>
              <w:t xml:space="preserve">外壳注塑件（ABS）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PY-2026-006</w:t>
            </w:r>
          </w:p>
        </w:tc>
        <w:tc>
          <w:p>
            <w:pPr>
              <w:pStyle w:val="Compact"/>
              <w:jc w:val="left"/>
            </w:pPr>
            <w:r>
              <w:t xml:space="preserve">2027-03-31</w:t>
            </w:r>
          </w:p>
        </w:tc>
        <w:tc>
          <w:p>
            <w:pPr>
              <w:pStyle w:val="Compact"/>
              <w:jc w:val="left"/>
            </w:pPr>
            <w:r>
              <w:t xml:space="preserve">常规抽检（GB/T 2828.1 一般检验 Ⅱ 级）</w:t>
            </w:r>
          </w:p>
        </w:tc>
        <w:tc>
          <w:p>
            <w:pPr>
              <w:pStyle w:val="Compact"/>
              <w:jc w:val="left"/>
            </w:pPr>
            <w:r>
              <w:t xml:space="preserve">正常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GYS-0018</w:t>
            </w:r>
          </w:p>
        </w:tc>
        <w:tc>
          <w:p>
            <w:pPr>
              <w:pStyle w:val="Compact"/>
              <w:jc w:val="left"/>
            </w:pPr>
            <w:r>
              <w:t xml:space="preserve">某金属制品公司</w:t>
            </w:r>
          </w:p>
        </w:tc>
        <w:tc>
          <w:p>
            <w:pPr>
              <w:pStyle w:val="Compact"/>
              <w:jc w:val="left"/>
            </w:pPr>
            <w:r>
              <w:t xml:space="preserve">制造商</w:t>
            </w:r>
          </w:p>
        </w:tc>
        <w:tc>
          <w:p>
            <w:pPr>
              <w:pStyle w:val="Compact"/>
              <w:jc w:val="left"/>
            </w:pPr>
            <w:r>
              <w:t xml:space="preserve">支架类冲压件</w:t>
            </w:r>
          </w:p>
        </w:tc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PY-2026-018</w:t>
            </w:r>
          </w:p>
        </w:tc>
        <w:tc>
          <w:p>
            <w:pPr>
              <w:pStyle w:val="Compact"/>
              <w:jc w:val="left"/>
            </w:pPr>
            <w:r>
              <w:t xml:space="preserve">2026-12-31</w:t>
            </w:r>
          </w:p>
        </w:tc>
        <w:tc>
          <w:p>
            <w:pPr>
              <w:pStyle w:val="Compact"/>
              <w:jc w:val="left"/>
            </w:pPr>
            <w:r>
              <w:t xml:space="preserve">加严抽检</w:t>
            </w:r>
          </w:p>
        </w:tc>
        <w:tc>
          <w:p>
            <w:pPr>
              <w:pStyle w:val="Compact"/>
              <w:jc w:val="left"/>
            </w:pPr>
            <w:r>
              <w:t xml:space="preserve">正常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名录是采购放行的唯一依据：不在此名录内的供方不得下单，确需紧急采购的走特批流程，并在采购申请单中说明原因与补救安排（多长时间内补齐评价）；</w:t>
      </w:r>
    </w:p>
    <w:p>
      <w:pPr>
        <w:numPr>
          <w:ilvl w:val="0"/>
          <w:numId w:val="1001"/>
        </w:numPr>
      </w:pPr>
      <w:r>
        <w:t xml:space="preserve">等级不是标签，要落到差异化管理上：A 级可放宽检验、优先分配份额、参与新品开发；B 级常规控制；C 级加严检验与限期改进；连续两次评为 D 级的启动淘汰；</w:t>
      </w:r>
    </w:p>
    <w:p>
      <w:pPr>
        <w:numPr>
          <w:ilvl w:val="0"/>
          <w:numId w:val="1001"/>
        </w:numPr>
      </w:pPr>
      <w:r>
        <w:t xml:space="preserve">名录每季度核查一次（核对证书有效期、状态变更），每年至少整体修订一次，修订须保留上一版本，记录生效日期与批准人；</w:t>
      </w:r>
    </w:p>
    <w:p>
      <w:pPr>
        <w:numPr>
          <w:ilvl w:val="0"/>
          <w:numId w:val="1001"/>
        </w:numPr>
      </w:pPr>
      <w:r>
        <w:t xml:space="preserve">发生重大来料质量事故、交付事故或合规事件时，应即时把该供方状态改为</w:t>
      </w:r>
      <w:r>
        <w:t xml:space="preserve">“</w:t>
      </w:r>
      <w:r>
        <w:t xml:space="preserve">限购</w:t>
      </w:r>
      <w:r>
        <w:t xml:space="preserve">”</w:t>
      </w:r>
      <w:r>
        <w:t xml:space="preserve">或</w:t>
      </w:r>
      <w:r>
        <w:t xml:space="preserve">“</w:t>
      </w:r>
      <w:r>
        <w:t xml:space="preserve">暂停</w:t>
      </w:r>
      <w:r>
        <w:t xml:space="preserve">”</w:t>
      </w:r>
      <w:r>
        <w:t xml:space="preserve">，并书面通知仓库、检验、生产与使用部门，只改表不通知等于没改；</w:t>
      </w:r>
    </w:p>
    <w:p>
      <w:pPr>
        <w:numPr>
          <w:ilvl w:val="0"/>
          <w:numId w:val="1001"/>
        </w:numPr>
      </w:pPr>
      <w:r>
        <w:t xml:space="preserve">淘汰供方不得直接从表中删除，改状态为</w:t>
      </w:r>
      <w:r>
        <w:t xml:space="preserve">“</w:t>
      </w:r>
      <w:r>
        <w:t xml:space="preserve">淘汰待清理</w:t>
      </w:r>
      <w:r>
        <w:t xml:space="preserve">”</w:t>
      </w:r>
      <w:r>
        <w:t xml:space="preserve">，待在制品、库存、在途订单与工装模具清理完毕后再归档。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