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供方年度绩效评价表"/>
      <w:r>
        <w:t xml:space="preserve">供方年度绩效评价表</w:t>
      </w:r>
      <w:bookmarkEnd w:id="20"/>
    </w:p>
    <w:p>
      <w:pPr>
        <w:pStyle w:val="BlockText"/>
      </w:pPr>
      <w:r>
        <w:rPr>
          <w:b/>
        </w:rPr>
        <w:t xml:space="preserve">表单编号</w:t>
      </w:r>
      <w:r>
        <w:t xml:space="preserve">：QR-SC-06</w:t>
      </w:r>
      <w:r>
        <w:t xml:space="preserve"> </w:t>
      </w:r>
      <w:r>
        <w:rPr>
          <w:b/>
        </w:rPr>
        <w:t xml:space="preserve">层级</w:t>
      </w:r>
      <w:r>
        <w:t xml:space="preserve">：四级文件（记录 / 表单模板）</w:t>
      </w:r>
      <w:r>
        <w:t xml:space="preserve"> </w:t>
      </w:r>
      <w:r>
        <w:rPr>
          <w:b/>
        </w:rPr>
        <w:t xml:space="preserve">所属合集</w:t>
      </w:r>
      <w:r>
        <w:t xml:space="preserve">：《ISO9001体系文件套包（51）｜供方采购类记录表单模板》</w:t>
      </w:r>
      <w:r>
        <w:t xml:space="preserve"> </w:t>
      </w:r>
      <w:r>
        <w:rPr>
          <w:b/>
        </w:rPr>
        <w:t xml:space="preserve">归属文件</w:t>
      </w:r>
      <w:r>
        <w:t xml:space="preserve">：《供方采购类》对应二级程序文件或三级作业指导书（SC 系列）</w:t>
      </w:r>
      <w:r>
        <w:t xml:space="preserve"> </w:t>
      </w:r>
      <w:r>
        <w:t xml:space="preserve">来源：卓越质量智库 zhiliangclub.com</w:t>
      </w:r>
    </w:p>
    <w:p>
      <w:r>
        <w:pict>
          <v:rect style="width:0;height:1.5pt" o:hralign="center" o:hrstd="t" o:hr="t"/>
        </w:pict>
      </w:r>
    </w:p>
    <w:p>
      <w:pPr>
        <w:pStyle w:val="Heading2"/>
      </w:pPr>
      <w:bookmarkStart w:id="21" w:name="表头张贴前请补全"/>
      <w:r>
        <w:t xml:space="preserve">表头（张贴前请补全）</w:t>
      </w:r>
      <w:bookmarkEnd w:id="21"/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记录名称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表单编号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版本号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生效日期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组织名称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页码/总页数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填表人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填表日期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审批人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供方年度绩效评价表</w:t>
            </w:r>
          </w:p>
        </w:tc>
        <w:tc>
          <w:p>
            <w:pPr>
              <w:pStyle w:val="Compact"/>
              <w:jc w:val="left"/>
            </w:pPr>
            <w:r>
              <w:t xml:space="preserve">QR-SC-06</w:t>
            </w:r>
          </w:p>
        </w:tc>
        <w:tc>
          <w:p>
            <w:pPr>
              <w:pStyle w:val="Compact"/>
              <w:jc w:val="left"/>
            </w:pPr>
            <w:r>
              <w:t xml:space="preserve">A/0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  <w:tc>
          <w:p>
            <w:pPr>
              <w:pStyle w:val="Compact"/>
              <w:jc w:val="left"/>
            </w:pPr>
            <w:r>
              <w:t xml:space="preserve">　</w:t>
            </w:r>
          </w:p>
        </w:tc>
      </w:tr>
    </w:tbl>
    <w:p>
      <w:pPr>
        <w:pStyle w:val="BlockText"/>
      </w:pPr>
      <w:r>
        <w:t xml:space="preserve">表头九要素缺一即视为不受控记录。保存期限请印在页脚。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</w:rPr>
        <w:t xml:space="preserve">字段清单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字段名称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是否必填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填写说明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供方名称与编号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与名录一致，同一供方供多类物料时分别评价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评价周期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一般为一个自然年，关键供方可按半年或季度评价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供货批次与数量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期内总批次、总数量，作为合格率的分母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来料批次合格率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合格批次数 ÷ 总批次数，数据来自检验记录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交付准时率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按承诺交期准时到货订单数 ÷ 总订单数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重大质量事故次数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造成停线、批量返工、客户投诉的批次数量，据实填写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整改及时性与有效性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异常反馈至答复、至措施落地、至验证关闭的周期，以及复发情况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价格与成本竞争力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与同类供方比价结果、年度降本贡献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服务与配合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技术支持、紧急插单、备品备件供应、沟通响应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合规与体系维持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证书是否持续有效、有无行政处罚、有无重大人事或股权变动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各维度得分与加权总分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按下述权重与计分规则计算，附数据来源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等级判定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A 级 ≥ 90；B 级 80～89；C 级 70～79；D 级 &lt; 70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结论与后续措施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维持／提高份额／放宽检验／加严检验／限期整改／降级／淘汰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供方反馈与确认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评价结果知会供方并留有回执或沟通记录，整改要求明确到人到期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编制／审核／批准</w:t>
            </w:r>
          </w:p>
        </w:tc>
        <w:tc>
          <w:p>
            <w:pPr>
              <w:pStyle w:val="Compact"/>
              <w:jc w:val="left"/>
            </w:pPr>
            <w:r>
              <w:t xml:space="preserve">是</w:t>
            </w:r>
          </w:p>
        </w:tc>
        <w:tc>
          <w:p>
            <w:pPr>
              <w:pStyle w:val="Compact"/>
              <w:jc w:val="left"/>
            </w:pPr>
            <w:r>
              <w:t xml:space="preserve">采购员编制，采购与质量负责人审核，管理者代表或分管领导批准</w:t>
            </w:r>
          </w:p>
        </w:tc>
      </w:tr>
    </w:tbl>
    <w:p>
      <w:pPr>
        <w:pStyle w:val="BodyText"/>
      </w:pPr>
      <w:r>
        <w:rPr>
          <w:b/>
        </w:rPr>
        <w:t xml:space="preserve">计分规则示例（总分 100）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维度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分值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计分要点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来料批次合格率</w:t>
            </w:r>
          </w:p>
        </w:tc>
        <w:tc>
          <w:p>
            <w:pPr>
              <w:pStyle w:val="Compact"/>
              <w:jc w:val="left"/>
            </w:pPr>
            <w:r>
              <w:t xml:space="preserve">35</w:t>
            </w:r>
          </w:p>
        </w:tc>
        <w:tc>
          <w:p>
            <w:pPr>
              <w:pStyle w:val="Compact"/>
              <w:jc w:val="left"/>
            </w:pPr>
            <w:r>
              <w:t xml:space="preserve">≥ 99.5% 得满分 35 分；每下降 0.5 个百分点扣 5 分；低于 95% 该项不得分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交付准时率</w:t>
            </w:r>
          </w:p>
        </w:tc>
        <w:tc>
          <w:p>
            <w:pPr>
              <w:pStyle w:val="Compact"/>
              <w:jc w:val="left"/>
            </w:pPr>
            <w:r>
              <w:t xml:space="preserve">25</w:t>
            </w:r>
          </w:p>
        </w:tc>
        <w:tc>
          <w:p>
            <w:pPr>
              <w:pStyle w:val="Compact"/>
              <w:jc w:val="left"/>
            </w:pPr>
            <w:r>
              <w:t xml:space="preserve">≥ 98% 得满分；每下降 1 个百分点扣 3 分；低于 90% 该项不得分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整改及时性与有效性</w:t>
            </w:r>
          </w:p>
        </w:tc>
        <w:tc>
          <w:p>
            <w:pPr>
              <w:pStyle w:val="Compact"/>
              <w:jc w:val="left"/>
            </w:pPr>
            <w:r>
              <w:t xml:space="preserve">15</w:t>
            </w:r>
          </w:p>
        </w:tc>
        <w:tc>
          <w:p>
            <w:pPr>
              <w:pStyle w:val="Compact"/>
              <w:jc w:val="left"/>
            </w:pPr>
            <w:r>
              <w:t xml:space="preserve">按期答复与关闭得 15 分；逾期一次扣 3 分；同类问题重复发生每次扣 5 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价格与成本</w:t>
            </w:r>
          </w:p>
        </w:tc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报价具竞争力并有年度降本贡献得满分；明显高于同类供方按幅度扣分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服务与配合</w:t>
            </w:r>
          </w:p>
        </w:tc>
        <w:tc>
          <w:p>
            <w:pPr>
              <w:pStyle w:val="Compact"/>
              <w:jc w:val="left"/>
            </w:pPr>
            <w:r>
              <w:t xml:space="preserve">10</w:t>
            </w:r>
          </w:p>
        </w:tc>
        <w:tc>
          <w:p>
            <w:pPr>
              <w:pStyle w:val="Compact"/>
              <w:jc w:val="left"/>
            </w:pPr>
            <w:r>
              <w:t xml:space="preserve">技术支持、紧急插单、售后配合良好得满分；推诿或响应迟缓按事扣分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合规与体系维持</w:t>
            </w:r>
          </w:p>
        </w:tc>
        <w:tc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p>
            <w:pPr>
              <w:pStyle w:val="Compact"/>
              <w:jc w:val="left"/>
            </w:pPr>
            <w:r>
              <w:t xml:space="preserve">证书持续有效、无行政处罚得满分；证书过期或在办扣 3～5 分</w:t>
            </w:r>
          </w:p>
        </w:tc>
      </w:tr>
    </w:tbl>
    <w:p>
      <w:pPr>
        <w:pStyle w:val="BodyText"/>
      </w:pPr>
      <w:r>
        <w:rPr>
          <w:b/>
        </w:rPr>
        <w:t xml:space="preserve">示例行</w:t>
      </w:r>
    </w:p>
    <w:tbl>
      <w:tblPr>
        <w:tblStyle w:val="Table"/>
        <w:tblW w:type="pct" w:w="5000.0"/>
        <w:tblLook w:firstRow="1"/>
      </w:tblPr>
      <w:tblGrid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  <w:gridCol w:w="719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供方编号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评价周期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批次合格率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准时率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整改及时性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价格成本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服务配合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合规体系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总分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等级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后续措施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GYS-0012</w:t>
            </w:r>
          </w:p>
        </w:tc>
        <w:tc>
          <w:p>
            <w:pPr>
              <w:pStyle w:val="Compact"/>
              <w:jc w:val="left"/>
            </w:pPr>
            <w:r>
              <w:t xml:space="preserve">2026 年 1～12 月</w:t>
            </w:r>
          </w:p>
        </w:tc>
        <w:tc>
          <w:p>
            <w:pPr>
              <w:pStyle w:val="Compact"/>
              <w:jc w:val="left"/>
            </w:pPr>
            <w:r>
              <w:t xml:space="preserve">99.8%（35 分）</w:t>
            </w:r>
          </w:p>
        </w:tc>
        <w:tc>
          <w:p>
            <w:pPr>
              <w:pStyle w:val="Compact"/>
              <w:jc w:val="left"/>
            </w:pPr>
            <w:r>
              <w:t xml:space="preserve">97.5%（22 分）</w:t>
            </w:r>
          </w:p>
        </w:tc>
        <w:tc>
          <w:p>
            <w:pPr>
              <w:pStyle w:val="Compact"/>
              <w:jc w:val="left"/>
            </w:pPr>
            <w:r>
              <w:t xml:space="preserve">按期关闭（15 分）</w:t>
            </w:r>
          </w:p>
        </w:tc>
        <w:tc>
          <w:p>
            <w:pPr>
              <w:pStyle w:val="Compact"/>
              <w:jc w:val="left"/>
            </w:pPr>
            <w:r>
              <w:t xml:space="preserve">8 分</w:t>
            </w:r>
          </w:p>
        </w:tc>
        <w:tc>
          <w:p>
            <w:pPr>
              <w:pStyle w:val="Compact"/>
              <w:jc w:val="left"/>
            </w:pPr>
            <w:r>
              <w:t xml:space="preserve">9 分</w:t>
            </w:r>
          </w:p>
        </w:tc>
        <w:tc>
          <w:p>
            <w:pPr>
              <w:pStyle w:val="Compact"/>
              <w:jc w:val="left"/>
            </w:pPr>
            <w:r>
              <w:t xml:space="preserve">5 分</w:t>
            </w:r>
          </w:p>
        </w:tc>
        <w:tc>
          <w:p>
            <w:pPr>
              <w:pStyle w:val="Compact"/>
              <w:jc w:val="left"/>
            </w:pPr>
            <w:r>
              <w:t xml:space="preserve">94.0</w:t>
            </w:r>
          </w:p>
        </w:tc>
        <w:tc>
          <w:p>
            <w:pPr>
              <w:pStyle w:val="Compact"/>
              <w:jc w:val="left"/>
            </w:pPr>
            <w:r>
              <w:t xml:space="preserve">A</w:t>
            </w:r>
          </w:p>
        </w:tc>
        <w:tc>
          <w:p>
            <w:pPr>
              <w:pStyle w:val="Compact"/>
              <w:jc w:val="left"/>
            </w:pPr>
            <w:r>
              <w:t xml:space="preserve">维持 A 级，优先分配份额，检验方式调整为放宽抽检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GYS-0018</w:t>
            </w:r>
          </w:p>
        </w:tc>
        <w:tc>
          <w:p>
            <w:pPr>
              <w:pStyle w:val="Compact"/>
              <w:jc w:val="left"/>
            </w:pPr>
            <w:r>
              <w:t xml:space="preserve">2026 年 1～12 月</w:t>
            </w:r>
          </w:p>
        </w:tc>
        <w:tc>
          <w:p>
            <w:pPr>
              <w:pStyle w:val="Compact"/>
              <w:jc w:val="left"/>
            </w:pPr>
            <w:r>
              <w:t xml:space="preserve">96.5%（15 分）</w:t>
            </w:r>
          </w:p>
        </w:tc>
        <w:tc>
          <w:p>
            <w:pPr>
              <w:pStyle w:val="Compact"/>
              <w:jc w:val="left"/>
            </w:pPr>
            <w:r>
              <w:t xml:space="preserve">93.0%（16 分）</w:t>
            </w:r>
          </w:p>
        </w:tc>
        <w:tc>
          <w:p>
            <w:pPr>
              <w:pStyle w:val="Compact"/>
              <w:jc w:val="left"/>
            </w:pPr>
            <w:r>
              <w:t xml:space="preserve">逾期两次（9 分）</w:t>
            </w:r>
          </w:p>
        </w:tc>
        <w:tc>
          <w:p>
            <w:pPr>
              <w:pStyle w:val="Compact"/>
              <w:jc w:val="left"/>
            </w:pPr>
            <w:r>
              <w:t xml:space="preserve">9 分</w:t>
            </w:r>
          </w:p>
        </w:tc>
        <w:tc>
          <w:p>
            <w:pPr>
              <w:pStyle w:val="Compact"/>
              <w:jc w:val="left"/>
            </w:pPr>
            <w:r>
              <w:t xml:space="preserve">7 分</w:t>
            </w:r>
          </w:p>
        </w:tc>
        <w:tc>
          <w:p>
            <w:pPr>
              <w:pStyle w:val="Compact"/>
              <w:jc w:val="left"/>
            </w:pPr>
            <w:r>
              <w:t xml:space="preserve">5 分</w:t>
            </w:r>
          </w:p>
        </w:tc>
        <w:tc>
          <w:p>
            <w:pPr>
              <w:pStyle w:val="Compact"/>
              <w:jc w:val="left"/>
            </w:pPr>
            <w:r>
              <w:t xml:space="preserve">61.0</w:t>
            </w:r>
          </w:p>
        </w:tc>
        <w:tc>
          <w:p>
            <w:pPr>
              <w:pStyle w:val="Compact"/>
              <w:jc w:val="left"/>
            </w:pPr>
            <w:r>
              <w:t xml:space="preserve">D</w:t>
            </w:r>
          </w:p>
        </w:tc>
        <w:tc>
          <w:p>
            <w:pPr>
              <w:pStyle w:val="Compact"/>
              <w:jc w:val="left"/>
            </w:pPr>
            <w:r>
              <w:t xml:space="preserve">限期 3 个月整改（尺寸波动与交期），整改期内采购份额下调，逾期启动淘汰</w:t>
            </w:r>
          </w:p>
        </w:tc>
      </w:tr>
    </w:tbl>
    <w:p>
      <w:pPr>
        <w:pStyle w:val="BodyText"/>
      </w:pPr>
      <w:r>
        <w:rPr>
          <w:b/>
        </w:rPr>
        <w:t xml:space="preserve">填写说明</w:t>
      </w:r>
      <w:r>
        <w:t xml:space="preserve">：</w:t>
      </w:r>
    </w:p>
    <w:p>
      <w:pPr>
        <w:numPr>
          <w:ilvl w:val="0"/>
          <w:numId w:val="1001"/>
        </w:numPr>
      </w:pPr>
      <w:r>
        <w:t xml:space="preserve">所有指标必须能追溯到具体记录：合格率对应检验记录与不合格品处置记录，准时率对应订单与入库单据，整改情况对应供应商异常台账，不允许凭印象打分；</w:t>
      </w:r>
    </w:p>
    <w:p>
      <w:pPr>
        <w:numPr>
          <w:ilvl w:val="0"/>
          <w:numId w:val="1001"/>
        </w:numPr>
      </w:pPr>
      <w:r>
        <w:t xml:space="preserve">分母口径要一致——按批次而不是按件数统计合格率，或在表头注明统计口径，否则不同年份的数据无法比较；</w:t>
      </w:r>
    </w:p>
    <w:p>
      <w:pPr>
        <w:numPr>
          <w:ilvl w:val="0"/>
          <w:numId w:val="1001"/>
        </w:numPr>
      </w:pPr>
      <w:r>
        <w:t xml:space="preserve">同一供方供货多类物料时，宜分别评价后再合并出整体等级，防止</w:t>
      </w:r>
      <w:r>
        <w:t xml:space="preserve">“</w:t>
      </w:r>
      <w:r>
        <w:t xml:space="preserve">低风险物料的好数据掩盖高风险物料的坏数据</w:t>
      </w:r>
      <w:r>
        <w:t xml:space="preserve">”</w:t>
      </w:r>
      <w:r>
        <w:t xml:space="preserve">；</w:t>
      </w:r>
    </w:p>
    <w:p>
      <w:pPr>
        <w:numPr>
          <w:ilvl w:val="0"/>
          <w:numId w:val="1001"/>
        </w:numPr>
      </w:pPr>
      <w:r>
        <w:t xml:space="preserve">D 级供方的整改要求必须写清内容、期限、验证方式与未达成的后果，并把整改期内的采购安排（下调份额、加严检验、备用供方启用）一并写入结论；</w:t>
      </w:r>
    </w:p>
    <w:p>
      <w:pPr>
        <w:numPr>
          <w:ilvl w:val="0"/>
          <w:numId w:val="1001"/>
        </w:numPr>
      </w:pPr>
      <w:r>
        <w:t xml:space="preserve">淘汰决策要评估替代供应与在制品处置，涉及工装模具、专用材料、认证覆盖的供方尤其审慎，决策过程记入管理评审输入。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721">
    <w:nsid w:val="ea454b4c"/>
    <w:multiLevelType w:val="multilevel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2026-10-09T05:20:21Z</dcterms:created>
  <dcterms:modified xsi:type="dcterms:W3CDTF">2026-10-09T05:20:21Z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