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计验证记录"/>
      <w:r>
        <w:t xml:space="preserve">设计验证记录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：QR-DR-03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：《ISO9001体系文件套包（52）｜设计开发类记录表单模板》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：《设计开发类》对应二级程序文件或三级作业指导书（DR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设计验证记录</w:t>
            </w:r>
          </w:p>
        </w:tc>
        <w:tc>
          <w:p>
            <w:pPr>
              <w:pStyle w:val="Compact"/>
              <w:jc w:val="left"/>
            </w:pPr>
            <w:r>
              <w:t xml:space="preserve">QR-DR-03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验证编号／关联输入条款号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与任务书功能性能条目编号一一对应，做到</w:t>
            </w:r>
            <w:r>
              <w:t xml:space="preserve">“</w:t>
            </w:r>
            <w:r>
              <w:t xml:space="preserve">每条输入都有验证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验证对象与样件编号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设计阶段样机、试制件、仿真模型、对比样品的唯一编号与数量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验证方法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计算分析／仿真／试验测试／类比同类产品数据／样件检验／第三方检测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验证依据标准与条款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标准号与版本、委托检测机构名称与报告编号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判定准则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明确合格区间或上限下限，数字来源写清（标准值／任务书要求／顾客约定）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测试条件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环境温湿度、电源条件、负载、转速、介质、工况点，试验记录须可复现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实测数据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给出各测点原始数据或汇总表，附原始记录编号，不得只填</w:t>
            </w:r>
            <w:r>
              <w:t xml:space="preserve">“</w:t>
            </w:r>
            <w:r>
              <w:t xml:space="preserve">合格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通过／不通过／需补充验证；不通过须写明偏差数值与初步原因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不符合项处置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设计更改申请编号或重新验证安排，禁止口头</w:t>
            </w:r>
            <w:r>
              <w:t xml:space="preserve">“</w:t>
            </w:r>
            <w:r>
              <w:t xml:space="preserve">改一下再试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验证人／复核人／日期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验证人与复核人分离，第三方报告需注明接收与确认人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对应输入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验证方法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判定准则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V-03</w:t>
            </w:r>
          </w:p>
        </w:tc>
        <w:tc>
          <w:p>
            <w:pPr>
              <w:pStyle w:val="Compact"/>
              <w:jc w:val="left"/>
            </w:pPr>
            <w:r>
              <w:t xml:space="preserve">P-02 噪声</w:t>
            </w:r>
          </w:p>
        </w:tc>
        <w:tc>
          <w:p>
            <w:pPr>
              <w:pStyle w:val="Compact"/>
              <w:jc w:val="left"/>
            </w:pPr>
            <w:r>
              <w:t xml:space="preserve">试验测试（距机 1 m，额定工况，半消声室）</w:t>
            </w:r>
          </w:p>
        </w:tc>
        <w:tc>
          <w:p>
            <w:pPr>
              <w:pStyle w:val="Compact"/>
              <w:jc w:val="left"/>
            </w:pPr>
            <w:r>
              <w:t xml:space="preserve">≤ 68 dB(A)</w:t>
            </w:r>
          </w:p>
        </w:tc>
        <w:tc>
          <w:p>
            <w:pPr>
              <w:pStyle w:val="Compact"/>
              <w:jc w:val="left"/>
            </w:pPr>
            <w:r>
              <w:t xml:space="preserve">66.4 dB(A)（3 台均值，报告 CS-2026-1831）</w:t>
            </w:r>
          </w:p>
        </w:tc>
        <w:tc>
          <w:p>
            <w:pPr>
              <w:pStyle w:val="Compact"/>
              <w:jc w:val="left"/>
            </w:pPr>
            <w:r>
              <w:t xml:space="preserve">通过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V-05</w:t>
            </w:r>
          </w:p>
        </w:tc>
        <w:tc>
          <w:p>
            <w:pPr>
              <w:pStyle w:val="Compact"/>
              <w:jc w:val="left"/>
            </w:pPr>
            <w:r>
              <w:t xml:space="preserve">P-05 连续运行 2000 h</w:t>
            </w:r>
          </w:p>
        </w:tc>
        <w:tc>
          <w:p>
            <w:pPr>
              <w:pStyle w:val="Compact"/>
              <w:jc w:val="left"/>
            </w:pPr>
            <w:r>
              <w:t xml:space="preserve">试验测试（加速工况等效 2000 h）</w:t>
            </w:r>
          </w:p>
        </w:tc>
        <w:tc>
          <w:p>
            <w:pPr>
              <w:pStyle w:val="Compact"/>
              <w:jc w:val="left"/>
            </w:pPr>
            <w:r>
              <w:t xml:space="preserve">无泄漏、效率衰减 ≤ 5%</w:t>
            </w:r>
          </w:p>
        </w:tc>
        <w:tc>
          <w:p>
            <w:pPr>
              <w:pStyle w:val="Compact"/>
              <w:jc w:val="left"/>
            </w:pPr>
            <w:r>
              <w:t xml:space="preserve">衰减 3.1%，无泄漏</w:t>
            </w:r>
          </w:p>
        </w:tc>
        <w:tc>
          <w:p>
            <w:pPr>
              <w:pStyle w:val="Compact"/>
              <w:jc w:val="left"/>
            </w:pPr>
            <w:r>
              <w:t xml:space="preserve">通过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验证必须覆盖全部设计输入条目。常见漏洞是</w:t>
      </w:r>
      <w:r>
        <w:t xml:space="preserve">“</w:t>
      </w:r>
      <w:r>
        <w:t xml:space="preserve">验证了性能，没验证法规、包装运输与可维修性</w:t>
      </w:r>
      <w:r>
        <w:t xml:space="preserve">”</w:t>
      </w:r>
      <w:r>
        <w:t xml:space="preserve">，导致确认阶段才发现问题、返工成本成倍增加；</w:t>
      </w:r>
    </w:p>
    <w:p>
      <w:pPr>
        <w:numPr>
          <w:ilvl w:val="0"/>
          <w:numId w:val="1001"/>
        </w:numPr>
      </w:pPr>
      <w:r>
        <w:t xml:space="preserve">判定准则要在验证之前确定。先做试验、看到数据再倒推</w:t>
      </w:r>
      <w:r>
        <w:t xml:space="preserve">“</w:t>
      </w:r>
      <w:r>
        <w:t xml:space="preserve">这样也算合格</w:t>
      </w:r>
      <w:r>
        <w:t xml:space="preserve">”</w:t>
      </w:r>
      <w:r>
        <w:t xml:space="preserve">，是审核中定性为验证失效的典型情形；</w:t>
      </w:r>
    </w:p>
    <w:p>
      <w:pPr>
        <w:numPr>
          <w:ilvl w:val="0"/>
          <w:numId w:val="1001"/>
        </w:numPr>
      </w:pPr>
      <w:r>
        <w:t xml:space="preserve">极值条件必须验证。正常工况合格不等于极限工况合格，高温、低温、低电压、超载、误操作、短时断电等边界条件应在任务书阶段就列为验证项目；</w:t>
      </w:r>
    </w:p>
    <w:p>
      <w:pPr>
        <w:numPr>
          <w:ilvl w:val="0"/>
          <w:numId w:val="1001"/>
        </w:numPr>
      </w:pPr>
      <w:r>
        <w:t xml:space="preserve">不通过项不得直接</w:t>
      </w:r>
      <w:r>
        <w:t xml:space="preserve">“</w:t>
      </w:r>
      <w:r>
        <w:t xml:space="preserve">备注说明</w:t>
      </w:r>
      <w:r>
        <w:t xml:space="preserve">”</w:t>
      </w:r>
      <w:r>
        <w:t xml:space="preserve">了事。记录上应引出设计变更申请或补充验证计划，并在下次评审中作为遗留项核查。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