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设计变更申请单"/>
      <w:r>
        <w:t xml:space="preserve">设计变更申请单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：QR-DR-05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：《ISO9001体系文件套包（52）｜设计开发类记录表单模板》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：《设计开发类》对应二级程序文件或三级作业指导书（DR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设计变更申请单</w:t>
            </w:r>
          </w:p>
        </w:tc>
        <w:tc>
          <w:p>
            <w:pPr>
              <w:pStyle w:val="Compact"/>
              <w:jc w:val="left"/>
            </w:pPr>
            <w:r>
              <w:t xml:space="preserve">QR-DR-05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字段名称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变更申请编号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建议</w:t>
            </w:r>
            <w:r>
              <w:t xml:space="preserve">“</w:t>
            </w:r>
            <w:r>
              <w:t xml:space="preserve">BG＋年份＋流水</w:t>
            </w:r>
            <w:r>
              <w:t xml:space="preserve">”</w:t>
            </w:r>
            <w:r>
              <w:t xml:space="preserve">，与设计变更通知、图纸改版单关联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提出部门／人／日期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来源包括内部设计改进、验证发现、供方变更、顾客要求、法规更新、现场失效反馈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变更类别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Ⅰ类（影响安全／性能／法规／顾客约定）／Ⅱ类（影响配合、工艺、成本）／Ⅲ类（文字、标注、格式）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变更前状态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文件名称、编号、版本、生效日期；涉及物料或工序的一并写明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变更内容与理由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逐条写清改什么、为什么改；写明触发来源编号（验证编号／顾客文件／法规公告）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影响分析矩阵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见下方</w:t>
            </w:r>
            <w:r>
              <w:t xml:space="preserve">“</w:t>
            </w:r>
            <w:r>
              <w:t xml:space="preserve">分析维度</w:t>
            </w:r>
            <w:r>
              <w:t xml:space="preserve">”</w:t>
            </w:r>
            <w:r>
              <w:t xml:space="preserve">，逐维度给出</w:t>
            </w:r>
            <w:r>
              <w:t xml:space="preserve">“</w:t>
            </w:r>
            <w:r>
              <w:t xml:space="preserve">受影响／不受影响＋理由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对已交付产品的影响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有无影响、是否需要召回或现场措施；无影响的也要写明判断依据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对在制品／库存／在途订单的处理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数量、处置方式（继续使用／挑选／返工／报废）与批准人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需同步更新的文件清单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图纸、BOM、技术条件、工艺文件、检验规范、控制计划、作业指导书、包装与说明书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实施验证要求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变更后需做哪些验证与确认，抽样与判定准则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审批意见与签署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Ⅲ类设计师与主管审批；Ⅱ类技术负责人审批；Ⅰ类管理者代表或总经理批准，必要时顾客确认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实施与关闭记录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实施日期、验证记录编号、文件生效日期、旧文件回收情况、关闭确认</w:t>
            </w:r>
          </w:p>
        </w:tc>
      </w:tr>
    </w:tbl>
    <w:p>
      <w:pPr>
        <w:pStyle w:val="BodyText"/>
      </w:pPr>
      <w:r>
        <w:rPr>
          <w:b/>
        </w:rPr>
        <w:t xml:space="preserve">影响分析维度（逐条填写</w:t>
      </w:r>
      <w:r>
        <w:rPr>
          <w:b/>
        </w:rPr>
        <w:t xml:space="preserve">“</w:t>
      </w:r>
      <w:r>
        <w:rPr>
          <w:b/>
        </w:rPr>
        <w:t xml:space="preserve">受影响／不受影响</w:t>
      </w:r>
      <w:r>
        <w:rPr>
          <w:b/>
        </w:rPr>
        <w:t xml:space="preserve">”</w:t>
      </w:r>
      <w:r>
        <w:rPr>
          <w:b/>
        </w:rPr>
        <w:t xml:space="preserve">及理由）</w:t>
      </w:r>
    </w:p>
    <w:p>
      <w:pPr>
        <w:numPr>
          <w:ilvl w:val="0"/>
          <w:numId w:val="1001"/>
        </w:numPr>
        <w:pStyle w:val="Compact"/>
      </w:pPr>
      <w:r>
        <w:t xml:space="preserve">产品性能与安全；b) 法规与认证（是否触发重新认证或型式试验）；c) 顾客要求与顾客审批约定；d) 图纸与 BOM；e) 工艺路线、工装夹具与设备；f) 检验规范与控制计划；g) 供方与物料可获得性；h) 在制品、库存、在途与已交付产品；i) 成本与交期；j) 记录与文件版本一致性。</w:t>
      </w:r>
    </w:p>
    <w:p>
      <w:pPr>
        <w:pStyle w:val="FirstParagraph"/>
      </w:pPr>
      <w:r>
        <w:rPr>
          <w:b/>
        </w:rPr>
        <w:t xml:space="preserve">示例行</w:t>
      </w:r>
    </w:p>
    <w:tbl>
      <w:tblPr>
        <w:tblStyle w:val="Table"/>
        <w:tblW w:type="pct" w:w="4999.999999999999"/>
        <w:tblLook w:firstRow="1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变更编号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类别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变更内容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涉及文件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关键影响分析结论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关闭日期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BG-2026-021</w:t>
            </w:r>
          </w:p>
        </w:tc>
        <w:tc>
          <w:p>
            <w:pPr>
              <w:pStyle w:val="Compact"/>
              <w:jc w:val="left"/>
            </w:pPr>
            <w:r>
              <w:t xml:space="preserve">Ⅱ</w:t>
            </w:r>
          </w:p>
        </w:tc>
        <w:tc>
          <w:p>
            <w:pPr>
              <w:pStyle w:val="Compact"/>
              <w:jc w:val="left"/>
            </w:pPr>
            <w:r>
              <w:t xml:space="preserve">轴承座材质由 HT250 改为 QT450-10，解决装配开裂</w:t>
            </w:r>
          </w:p>
        </w:tc>
        <w:tc>
          <w:p>
            <w:pPr>
              <w:pStyle w:val="Compact"/>
              <w:jc w:val="left"/>
            </w:pPr>
            <w:r>
              <w:t xml:space="preserve">图纸 PZ-80A-002（→第 5 版）、BOM、进货检验规范</w:t>
            </w:r>
          </w:p>
        </w:tc>
        <w:tc>
          <w:p>
            <w:pPr>
              <w:pStyle w:val="Compact"/>
              <w:jc w:val="left"/>
            </w:pPr>
            <w:r>
              <w:t xml:space="preserve">性能不受影响（附强度计算书 JS-031）；不影响法规认证；工装无需改动；在库 HT250 毛坯 240 件冻结待处置；顾客无需重新确认</w:t>
            </w:r>
          </w:p>
        </w:tc>
        <w:tc>
          <w:p>
            <w:pPr>
              <w:pStyle w:val="Compact"/>
              <w:jc w:val="left"/>
            </w:pPr>
            <w:r>
              <w:t xml:space="preserve">技术负责人批准（总经理知会）</w:t>
            </w:r>
          </w:p>
        </w:tc>
        <w:tc>
          <w:p>
            <w:pPr>
              <w:pStyle w:val="Compact"/>
              <w:jc w:val="left"/>
            </w:pPr>
            <w:r>
              <w:t xml:space="preserve">2026-08-30（验证报告 V-11 通过，旧版图纸已回收 9 份）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2"/>
        </w:numPr>
      </w:pPr>
      <w:r>
        <w:t xml:space="preserve">变更类别决定审批层级，不得全部走</w:t>
      </w:r>
      <w:r>
        <w:t xml:space="preserve">“</w:t>
      </w:r>
      <w:r>
        <w:t xml:space="preserve">主管签字</w:t>
      </w:r>
      <w:r>
        <w:t xml:space="preserve">”</w:t>
      </w:r>
      <w:r>
        <w:t xml:space="preserve">。分类标准写入程序文件，避免就</w:t>
      </w:r>
      <w:r>
        <w:t xml:space="preserve">“</w:t>
      </w:r>
      <w:r>
        <w:t xml:space="preserve">这算不算重大变更</w:t>
      </w:r>
      <w:r>
        <w:t xml:space="preserve">”</w:t>
      </w:r>
      <w:r>
        <w:t xml:space="preserve">反复争论；</w:t>
      </w:r>
    </w:p>
    <w:p>
      <w:pPr>
        <w:numPr>
          <w:ilvl w:val="0"/>
          <w:numId w:val="1002"/>
        </w:numPr>
      </w:pPr>
      <w:r>
        <w:t xml:space="preserve">影响分析是这张表的灵魂。只写</w:t>
      </w:r>
      <w:r>
        <w:t xml:space="preserve">“</w:t>
      </w:r>
      <w:r>
        <w:t xml:space="preserve">同意变更</w:t>
      </w:r>
      <w:r>
        <w:t xml:space="preserve">”</w:t>
      </w:r>
      <w:r>
        <w:t xml:space="preserve">而没有逐维度分析的单据，在审核中通常被判定为变更控制失效；</w:t>
      </w:r>
    </w:p>
    <w:p>
      <w:pPr>
        <w:numPr>
          <w:ilvl w:val="0"/>
          <w:numId w:val="1002"/>
        </w:numPr>
      </w:pPr>
      <w:r>
        <w:t xml:space="preserve">文件更新必须成组进行。只改图纸不改检验规范、只改 BOM 不通知仓库，会造成现场两套标准并行，是批量质量事故最常见的起点；</w:t>
      </w:r>
    </w:p>
    <w:p>
      <w:pPr>
        <w:numPr>
          <w:ilvl w:val="0"/>
          <w:numId w:val="1002"/>
        </w:numPr>
      </w:pPr>
      <w:r>
        <w:t xml:space="preserve">变更实施后要核对现场：新版本图纸是否已发到工位、旧版本是否已回收作废、仓库是否按新 BOM 发料、检验是否按新准则判定。做到这四步，变更才算真正闭环；</w:t>
      </w:r>
    </w:p>
    <w:p>
      <w:pPr>
        <w:numPr>
          <w:ilvl w:val="0"/>
          <w:numId w:val="1002"/>
        </w:numPr>
      </w:pPr>
      <w:r>
        <w:t xml:space="preserve">Ⅲ类文字性变更也不得随手改。任何写入受控文件的改动都要留下单号，否则版本追溯链条即断裂。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