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成品检验出厂检验记录"/>
      <w:r>
        <w:t xml:space="preserve">成品检验／出厂检验记录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成品检验／出厂检验记录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QR-PQ-03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：全部待入库或待交付的成品批次；有顾客特殊要求或强制认证（如 CCC）时须在表头标注要求来源。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批次数量／抽样方案</w:t>
            </w:r>
          </w:p>
        </w:tc>
        <w:tc>
          <w:p>
            <w:pPr>
              <w:pStyle w:val="Compact"/>
              <w:jc w:val="left"/>
            </w:pPr>
            <w:r>
              <w:t xml:space="preserve">2000 件／GB/T 2828.1 Ⅱ级 AQL1.5，抽 125 件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引用标准与抽样表，不得凭经验定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检验依据</w:t>
            </w:r>
          </w:p>
        </w:tc>
        <w:tc>
          <w:p>
            <w:pPr>
              <w:pStyle w:val="Compact"/>
              <w:jc w:val="left"/>
            </w:pPr>
            <w:r>
              <w:t xml:space="preserve">检验规范 QI-FQC-2041、图纸 C 版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注明文件编号与版本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p>
            <w:pPr>
              <w:pStyle w:val="Compact"/>
              <w:jc w:val="left"/>
            </w:pPr>
            <w:r>
              <w:t xml:space="preserve">外观、尺寸、功能、包装标识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覆盖放行准则全部要求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逐项实测／试验结果</w:t>
            </w:r>
          </w:p>
        </w:tc>
        <w:tc>
          <w:p>
            <w:pPr>
              <w:pStyle w:val="Compact"/>
              <w:jc w:val="left"/>
            </w:pPr>
            <w:r>
              <w:t xml:space="preserve">见示例行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功能与安全项须留原始试验数据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判定结论</w:t>
            </w:r>
          </w:p>
        </w:tc>
        <w:tc>
          <w:p>
            <w:pPr>
              <w:pStyle w:val="Compact"/>
              <w:jc w:val="left"/>
            </w:pPr>
            <w:r>
              <w:t xml:space="preserve">合格／让步接收／不合格</w:t>
            </w:r>
          </w:p>
        </w:tc>
        <w:tc>
          <w:p>
            <w:pPr>
              <w:pStyle w:val="Compact"/>
              <w:jc w:val="left"/>
            </w:pPr>
            <w:r>
              <w:t xml:space="preserve">FQC／质量主管</w:t>
            </w:r>
          </w:p>
        </w:tc>
        <w:tc>
          <w:p>
            <w:pPr>
              <w:pStyle w:val="Compact"/>
              <w:jc w:val="left"/>
            </w:pPr>
            <w:r>
              <w:t xml:space="preserve">让步接收须有顾客书面同意编号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放行人签字／日期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质量部 王某 2026-10-13</w:t>
            </w:r>
          </w:p>
        </w:tc>
        <w:tc>
          <w:p>
            <w:pPr>
              <w:pStyle w:val="Compact"/>
              <w:jc w:val="left"/>
            </w:pPr>
            <w:r>
              <w:t xml:space="preserve">质量主管</w:t>
            </w:r>
          </w:p>
        </w:tc>
        <w:tc>
          <w:p>
            <w:pPr>
              <w:pStyle w:val="Compact"/>
              <w:jc w:val="left"/>
            </w:pPr>
            <w:r>
              <w:t xml:space="preserve">与授权放行人员名单一致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不合格数量与处置编号</w:t>
            </w:r>
          </w:p>
        </w:tc>
        <w:tc>
          <w:p>
            <w:pPr>
              <w:pStyle w:val="Compact"/>
              <w:jc w:val="left"/>
            </w:pPr>
            <w:r>
              <w:t xml:space="preserve">2 件／NCR-2026-0417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与不合格品处置单双向可查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入库单号／发货单号</w:t>
            </w:r>
          </w:p>
        </w:tc>
        <w:tc>
          <w:p>
            <w:pPr>
              <w:pStyle w:val="Compact"/>
              <w:jc w:val="left"/>
            </w:pPr>
            <w:r>
              <w:t xml:space="preserve">RK-20261013-05／—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未判定不得填入库单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检验方法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样本量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判定准则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实测结果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外观</w:t>
            </w:r>
          </w:p>
        </w:tc>
        <w:tc>
          <w:p>
            <w:pPr>
              <w:pStyle w:val="Compact"/>
              <w:jc w:val="left"/>
            </w:pPr>
            <w:r>
              <w:t xml:space="preserve">目视／照度≥500lx</w:t>
            </w:r>
          </w:p>
        </w:tc>
        <w:tc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p>
            <w:pPr>
              <w:pStyle w:val="Compact"/>
              <w:jc w:val="left"/>
            </w:pPr>
            <w:r>
              <w:t xml:space="preserve">无锈蚀、无划伤、标识清晰</w:t>
            </w:r>
          </w:p>
        </w:tc>
        <w:tc>
          <w:p>
            <w:pPr>
              <w:pStyle w:val="Compact"/>
              <w:jc w:val="left"/>
            </w:pPr>
            <w:r>
              <w:t xml:space="preserve">2 件轻微划伤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千分尺 QLM-0031</w:t>
            </w:r>
          </w:p>
        </w:tc>
        <w:tc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均在公差内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硬度</w:t>
            </w:r>
          </w:p>
        </w:tc>
        <w:tc>
          <w:p>
            <w:pPr>
              <w:pStyle w:val="Compact"/>
              <w:jc w:val="left"/>
            </w:pPr>
            <w:r>
              <w:t xml:space="preserve">洛氏 HRC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45～50 HRC</w:t>
            </w:r>
          </w:p>
        </w:tc>
        <w:tc>
          <w:p>
            <w:pPr>
              <w:pStyle w:val="Compact"/>
              <w:jc w:val="left"/>
            </w:pPr>
            <w:r>
              <w:t xml:space="preserve">46.5／47.2／48.0／46.8／47.5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包装</w:t>
            </w:r>
          </w:p>
        </w:tc>
        <w:tc>
          <w:p>
            <w:pPr>
              <w:pStyle w:val="Compact"/>
              <w:jc w:val="left"/>
            </w:pPr>
            <w:r>
              <w:t xml:space="preserve">目视</w:t>
            </w:r>
          </w:p>
        </w:tc>
        <w:tc>
          <w:p>
            <w:pPr>
              <w:pStyle w:val="Compact"/>
              <w:jc w:val="left"/>
            </w:pPr>
            <w:r>
              <w:t xml:space="preserve">全部</w:t>
            </w:r>
          </w:p>
        </w:tc>
        <w:tc>
          <w:p>
            <w:pPr>
              <w:pStyle w:val="Compact"/>
              <w:jc w:val="left"/>
            </w:pPr>
            <w:r>
              <w:t xml:space="preserve">一箱 50 件，附合格证与批号</w:t>
            </w:r>
          </w:p>
        </w:tc>
        <w:tc>
          <w:p>
            <w:pPr>
              <w:pStyle w:val="Compact"/>
              <w:jc w:val="left"/>
            </w:pPr>
            <w:r>
              <w:t xml:space="preserve">符合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：①检验项目不得只填</w:t>
      </w:r>
      <w:r>
        <w:t xml:space="preserve">“</w:t>
      </w:r>
      <w:r>
        <w:t xml:space="preserve">全检合格</w:t>
      </w:r>
      <w:r>
        <w:t xml:space="preserve">”</w:t>
      </w:r>
      <w:r>
        <w:t xml:space="preserve">；②试验项目（如耐压、老化、寿命）须附原始记录或报告编号；③有顾客特殊要求（外观封样、包装唛头）时须逐条对照并在备注栏写明依据；④出厂检验记录与发货单、出库单在批次号上必须一一对应，便于召回时界定范围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