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产品标识卡与追溯记录"/>
      <w:r>
        <w:t xml:space="preserve">产品标识卡与追溯记录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：QR-PQ-05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：《ISO9001体系文件套包（53）｜生产检验类记录表单模板》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：《生产检验类》对应二级程序文件或三级作业指导书（PQ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产品标识卡与追溯记录</w:t>
            </w:r>
          </w:p>
        </w:tc>
        <w:tc>
          <w:p>
            <w:pPr>
              <w:pStyle w:val="Compact"/>
              <w:jc w:val="left"/>
            </w:pPr>
            <w:r>
              <w:t xml:space="preserve">QR-PQ-05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适用对象</w:t>
      </w:r>
      <w:r>
        <w:t xml:space="preserve">：从原材料投入到成品交付的全过程在制品与成品；多品种共线生产、混料风险高的车间必设。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标识卡编号</w:t>
            </w:r>
          </w:p>
        </w:tc>
        <w:tc>
          <w:p>
            <w:pPr>
              <w:pStyle w:val="Compact"/>
              <w:jc w:val="left"/>
            </w:pPr>
            <w:r>
              <w:t xml:space="preserve">ID-20261013-02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一批一卡，随物流转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品名／图号／规格</w:t>
            </w:r>
          </w:p>
        </w:tc>
        <w:tc>
          <w:p>
            <w:pPr>
              <w:pStyle w:val="Compact"/>
              <w:jc w:val="left"/>
            </w:pPr>
            <w:r>
              <w:t xml:space="preserve">输出轴／GX-2041／Φ32×186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与图纸一致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生产批号／工单号</w:t>
            </w:r>
          </w:p>
        </w:tc>
        <w:tc>
          <w:p>
            <w:pPr>
              <w:pStyle w:val="Compact"/>
              <w:jc w:val="left"/>
            </w:pPr>
            <w:r>
              <w:t xml:space="preserve">B20261013-02／WO-2601013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与首件、检验记录同一编号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数量（投入／完成）</w:t>
            </w:r>
          </w:p>
        </w:tc>
        <w:tc>
          <w:p>
            <w:pPr>
              <w:pStyle w:val="Compact"/>
              <w:jc w:val="left"/>
            </w:pPr>
            <w:r>
              <w:t xml:space="preserve">投 2000／完 1998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差异须注明去向（不合格 2 件）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当前状态</w:t>
            </w:r>
          </w:p>
        </w:tc>
        <w:tc>
          <w:p>
            <w:pPr>
              <w:pStyle w:val="Compact"/>
              <w:jc w:val="left"/>
            </w:pPr>
            <w:r>
              <w:t xml:space="preserve">待检／在检／合格／不合格／返工中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状态变更须由检验员签字，班组不得自行改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工序位置</w:t>
            </w:r>
          </w:p>
        </w:tc>
        <w:tc>
          <w:p>
            <w:pPr>
              <w:pStyle w:val="Compact"/>
              <w:jc w:val="left"/>
            </w:pPr>
            <w:r>
              <w:t xml:space="preserve">OP-30 精车完成，待磨削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每转序更新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原料批次／供方（可追溯要求时）</w:t>
            </w:r>
          </w:p>
        </w:tc>
        <w:tc>
          <w:p>
            <w:pPr>
              <w:pStyle w:val="Compact"/>
              <w:jc w:val="left"/>
            </w:pPr>
            <w:r>
              <w:t xml:space="preserve">45# 钢 20261008-A／某钢企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由进料批次推至成品批号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生产日期／班组／操作者</w:t>
            </w:r>
          </w:p>
        </w:tc>
        <w:tc>
          <w:p>
            <w:pPr>
              <w:pStyle w:val="Compact"/>
              <w:jc w:val="left"/>
            </w:pPr>
            <w:r>
              <w:t xml:space="preserve">2026-10-13／早班／张某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便于问题归属到人机料法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存放区／库位</w:t>
            </w:r>
          </w:p>
        </w:tc>
        <w:tc>
          <w:p>
            <w:pPr>
              <w:pStyle w:val="Compact"/>
              <w:jc w:val="left"/>
            </w:pPr>
            <w:r>
              <w:t xml:space="preserve">待检区 P-03／成品区 F-12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与现场划线一致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有效期／保质期（有要求时）</w:t>
            </w:r>
          </w:p>
        </w:tc>
        <w:tc>
          <w:p>
            <w:pPr>
              <w:pStyle w:val="Compact"/>
              <w:jc w:val="left"/>
            </w:pPr>
            <w:r>
              <w:t xml:space="preserve">2028-10-13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到期需复检或另行处置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转序／交付签字</w:t>
            </w:r>
          </w:p>
        </w:tc>
        <w:tc>
          <w:p>
            <w:pPr>
              <w:pStyle w:val="Compact"/>
              <w:jc w:val="left"/>
            </w:pPr>
            <w:r>
              <w:t xml:space="preserve">转序人、接收人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交接不清不得流转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品名／批号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工序位置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操作者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ID-20261013-02</w:t>
            </w:r>
          </w:p>
        </w:tc>
        <w:tc>
          <w:p>
            <w:pPr>
              <w:pStyle w:val="Compact"/>
              <w:jc w:val="left"/>
            </w:pPr>
            <w:r>
              <w:t xml:space="preserve">输出轴／B20261013-02</w:t>
            </w:r>
          </w:p>
        </w:tc>
        <w:tc>
          <w:p>
            <w:pPr>
              <w:pStyle w:val="Compact"/>
              <w:jc w:val="left"/>
            </w:pPr>
            <w:r>
              <w:t xml:space="preserve">1998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成品区 F-12</w:t>
            </w:r>
          </w:p>
        </w:tc>
        <w:tc>
          <w:p>
            <w:pPr>
              <w:pStyle w:val="Compact"/>
              <w:jc w:val="left"/>
            </w:pPr>
            <w:r>
              <w:t xml:space="preserve">2026-10-13</w:t>
            </w:r>
          </w:p>
        </w:tc>
        <w:tc>
          <w:p>
            <w:pPr>
              <w:pStyle w:val="Compact"/>
              <w:jc w:val="left"/>
            </w:pPr>
            <w:r>
              <w:t xml:space="preserve">张某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状态标识用颜色管理（绿合格、黄待检、红不合格、蓝返工）时，须在体系文件中明确定义并被全员知晓；②同一批号跨班次生产时，标识卡合并或分行更新，避免出现两张卡数量重复计算；③需要正向与反向双向追溯的产品（汽车、医疗、航空类），须在交付记录中同时保留批次—原料—检验—发货四条链路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