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产品防护检查记录"/>
      <w:r>
        <w:t xml:space="preserve">产品防护检查记录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：QR-PQ-06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：《ISO9001体系文件套包（53）｜生产检验类记录表单模板》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：《生产检验类》对应二级程序文件或三级作业指导书（PQ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产品防护检查记录</w:t>
            </w:r>
          </w:p>
        </w:tc>
        <w:tc>
          <w:p>
            <w:pPr>
              <w:pStyle w:val="Compact"/>
              <w:jc w:val="left"/>
            </w:pPr>
            <w:r>
              <w:t xml:space="preserve">QR-PQ-06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适用对象</w:t>
      </w:r>
      <w:r>
        <w:t xml:space="preserve">：在制品暂存区、成品库、待发区、客户寄存区（如涉及）。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检查日期／区域</w:t>
            </w:r>
          </w:p>
        </w:tc>
        <w:tc>
          <w:p>
            <w:pPr>
              <w:pStyle w:val="Compact"/>
              <w:jc w:val="left"/>
            </w:pPr>
            <w:r>
              <w:t xml:space="preserve">2026-10-13／成品库 F 区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按区域逐一检查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检查项目</w:t>
            </w:r>
          </w:p>
        </w:tc>
        <w:tc>
          <w:p>
            <w:pPr>
              <w:pStyle w:val="Compact"/>
              <w:jc w:val="left"/>
            </w:pPr>
            <w:r>
              <w:t xml:space="preserve">堆码高度、防潮、防锈、防静电、防混料、防挤压变形、包装完好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依产品特性选择，至少覆盖主要风险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判定标准</w:t>
            </w:r>
          </w:p>
        </w:tc>
        <w:tc>
          <w:p>
            <w:pPr>
              <w:pStyle w:val="Compact"/>
              <w:jc w:val="left"/>
            </w:pPr>
            <w:r>
              <w:t xml:space="preserve">堆码≤5 层；湿度≤60%RH；防锈油膜完好</w:t>
            </w:r>
          </w:p>
        </w:tc>
        <w:tc>
          <w:p>
            <w:pPr>
              <w:pStyle w:val="Compact"/>
              <w:jc w:val="left"/>
            </w:pPr>
            <w:r>
              <w:t xml:space="preserve">工艺／仓储</w:t>
            </w:r>
          </w:p>
        </w:tc>
        <w:tc>
          <w:p>
            <w:pPr>
              <w:pStyle w:val="Compact"/>
              <w:jc w:val="left"/>
            </w:pPr>
            <w:r>
              <w:t xml:space="preserve">定量化，不写</w:t>
            </w:r>
            <w:r>
              <w:t xml:space="preserve">“</w:t>
            </w:r>
            <w:r>
              <w:t xml:space="preserve">符合要求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实测／观察结果</w:t>
            </w:r>
          </w:p>
        </w:tc>
        <w:tc>
          <w:p>
            <w:pPr>
              <w:pStyle w:val="Compact"/>
              <w:jc w:val="left"/>
            </w:pPr>
            <w:r>
              <w:t xml:space="preserve">堆码 4 层；湿度 48%RH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记录数据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先进先出执行</w:t>
            </w:r>
          </w:p>
        </w:tc>
        <w:tc>
          <w:p>
            <w:pPr>
              <w:pStyle w:val="Compact"/>
              <w:jc w:val="left"/>
            </w:pPr>
            <w:r>
              <w:t xml:space="preserve">抽查 5 个库位，均按批次先后发料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抽查数量与结果写明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环境记录（可选）</w:t>
            </w:r>
          </w:p>
        </w:tc>
        <w:tc>
          <w:p>
            <w:pPr>
              <w:pStyle w:val="Compact"/>
              <w:jc w:val="left"/>
            </w:pPr>
            <w:r>
              <w:t xml:space="preserve">温度 22℃、湿度 48%RH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有温湿度要求的必填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异常与整改</w:t>
            </w:r>
          </w:p>
        </w:tc>
        <w:tc>
          <w:p>
            <w:pPr>
              <w:pStyle w:val="Compact"/>
              <w:jc w:val="left"/>
            </w:pPr>
            <w:r>
              <w:t xml:space="preserve">1 箱外包装破损，当日更换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含整改人、完成时间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检查人／审核人</w:t>
            </w:r>
          </w:p>
        </w:tc>
        <w:tc>
          <w:p>
            <w:pPr>
              <w:pStyle w:val="Compact"/>
              <w:jc w:val="left"/>
            </w:pPr>
            <w:r>
              <w:t xml:space="preserve">李某／主管王某</w:t>
            </w:r>
          </w:p>
        </w:tc>
        <w:tc>
          <w:p>
            <w:pPr>
              <w:pStyle w:val="Compact"/>
              <w:jc w:val="left"/>
            </w:pPr>
            <w:r>
              <w:t xml:space="preserve">双方</w:t>
            </w:r>
          </w:p>
        </w:tc>
        <w:tc>
          <w:p>
            <w:pPr>
              <w:pStyle w:val="Compact"/>
              <w:jc w:val="left"/>
            </w:pPr>
            <w:r>
              <w:t xml:space="preserve">每周至少一次，形成趋势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区域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整改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 区</w:t>
            </w:r>
          </w:p>
        </w:tc>
        <w:tc>
          <w:p>
            <w:pPr>
              <w:pStyle w:val="Compact"/>
              <w:jc w:val="left"/>
            </w:pPr>
            <w:r>
              <w:t xml:space="preserve">堆码高度</w:t>
            </w:r>
          </w:p>
        </w:tc>
        <w:tc>
          <w:p>
            <w:pPr>
              <w:pStyle w:val="Compact"/>
              <w:jc w:val="left"/>
            </w:pPr>
            <w:r>
              <w:t xml:space="preserve">≤5 层</w:t>
            </w:r>
          </w:p>
        </w:tc>
        <w:tc>
          <w:p>
            <w:pPr>
              <w:pStyle w:val="Compact"/>
              <w:jc w:val="left"/>
            </w:pPr>
            <w:r>
              <w:t xml:space="preserve">4 层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 区</w:t>
            </w:r>
          </w:p>
        </w:tc>
        <w:tc>
          <w:p>
            <w:pPr>
              <w:pStyle w:val="Compact"/>
              <w:jc w:val="left"/>
            </w:pPr>
            <w:r>
              <w:t xml:space="preserve">防潮</w:t>
            </w:r>
          </w:p>
        </w:tc>
        <w:tc>
          <w:p>
            <w:pPr>
              <w:pStyle w:val="Compact"/>
              <w:jc w:val="left"/>
            </w:pPr>
            <w:r>
              <w:t xml:space="preserve">≤60%RH</w:t>
            </w:r>
          </w:p>
        </w:tc>
        <w:tc>
          <w:p>
            <w:pPr>
              <w:pStyle w:val="Compact"/>
              <w:jc w:val="left"/>
            </w:pPr>
            <w:r>
              <w:t xml:space="preserve">48%RH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 区</w:t>
            </w:r>
          </w:p>
        </w:tc>
        <w:tc>
          <w:p>
            <w:pPr>
              <w:pStyle w:val="Compact"/>
              <w:jc w:val="left"/>
            </w:pPr>
            <w:r>
              <w:t xml:space="preserve">包装完好</w:t>
            </w:r>
          </w:p>
        </w:tc>
        <w:tc>
          <w:p>
            <w:pPr>
              <w:pStyle w:val="Compact"/>
              <w:jc w:val="left"/>
            </w:pPr>
            <w:r>
              <w:t xml:space="preserve">无破损</w:t>
            </w:r>
          </w:p>
        </w:tc>
        <w:tc>
          <w:p>
            <w:pPr>
              <w:pStyle w:val="Compact"/>
              <w:jc w:val="left"/>
            </w:pPr>
            <w:r>
              <w:t xml:space="preserve">1 箱破损</w:t>
            </w:r>
          </w:p>
        </w:tc>
        <w:tc>
          <w:p>
            <w:pPr>
              <w:pStyle w:val="Compact"/>
              <w:jc w:val="left"/>
            </w:pPr>
            <w:r>
              <w:t xml:space="preserve">不合格</w:t>
            </w:r>
          </w:p>
        </w:tc>
        <w:tc>
          <w:p>
            <w:pPr>
              <w:pStyle w:val="Compact"/>
              <w:jc w:val="left"/>
            </w:pPr>
            <w:r>
              <w:t xml:space="preserve">当日更换包装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防护检查记录应体现周期性与趋势（月度汇总），而非临时应付审核的一次性记录；②发现防护缺陷导致产品质量受损时，须触发不合格品处置单与库存复检；③顾客提供的财产（模具、包装箱、专用料架）的防护也在本表记录范围内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