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0套包总览四级文件结构与落地路线图"/>
      <w:r>
        <w:t xml:space="preserve">ISO9001体系文件套包（0）｜套包总览：四级文件结构与落地路线图</w:t>
      </w:r>
      <w:bookmarkEnd w:id="20"/>
    </w:p>
    <w:p>
      <w:pPr>
        <w:pStyle w:val="FirstParagraph"/>
      </w:pPr>
      <w:r>
        <w:t xml:space="preserve">【文件说明】本文是</w:t>
      </w:r>
      <w:r>
        <w:t xml:space="preserve">“</w:t>
      </w:r>
      <w:r>
        <w:t xml:space="preserve">ISO9001体系文件套包</w:t>
      </w:r>
      <w:r>
        <w:t xml:space="preserve">”</w:t>
      </w:r>
      <w:r>
        <w:t xml:space="preserve">系列的开篇总览文件。它在整个体系中扮演</w:t>
      </w:r>
      <w:r>
        <w:t xml:space="preserve">“</w:t>
      </w:r>
      <w:r>
        <w:t xml:space="preserve">导航图</w:t>
      </w:r>
      <w:r>
        <w:t xml:space="preserve">”</w:t>
      </w:r>
      <w:r>
        <w:t xml:space="preserve">的角色：说明一套完整的 ISO 9001:2015 质量管理体系文件由哪四级构成、各级文件的定位与相互关系、每一份文件对应标准的哪些条款，并给出从零建立体系的 8 步落地路线图和认证审核应对要点。本文适用于：准备首次建立并通过 ISO 9001 认证的中小制造企业、服务业企业；已有体系但文件混乱、准备系统梳理的企业；以及需要向管理层说明体系建设投入与推进路径的质量负责人。建议读者结合本套包后续各篇模板文件使用：先读本篇建立整体框架，再按路线图逐份落地，避免</w:t>
      </w:r>
      <w:r>
        <w:t xml:space="preserve">“</w:t>
      </w:r>
      <w:r>
        <w:t xml:space="preserve">文件一堆、体系不转</w:t>
      </w:r>
      <w:r>
        <w:t xml:space="preserve">”</w:t>
      </w:r>
      <w:r>
        <w:t xml:space="preserve">的通病。</w:t>
      </w:r>
    </w:p>
    <w:p>
      <w:pPr>
        <w:pStyle w:val="Heading2"/>
      </w:pPr>
      <w:bookmarkStart w:id="21" w:name="一四级文件结构说明"/>
      <w:r>
        <w:t xml:space="preserve">一、四级文件结构说明</w:t>
      </w:r>
      <w:bookmarkEnd w:id="21"/>
    </w:p>
    <w:p>
      <w:pPr>
        <w:pStyle w:val="FirstParagraph"/>
      </w:pPr>
      <w:r>
        <w:t xml:space="preserve">ISO 9001:2015 标准 7.5 条款要求组织</w:t>
      </w:r>
      <w:r>
        <w:t xml:space="preserve">“</w:t>
      </w:r>
      <w:r>
        <w:t xml:space="preserve">保持并保留成文信息</w:t>
      </w:r>
      <w:r>
        <w:t xml:space="preserve">”</w:t>
      </w:r>
      <w:r>
        <w:t xml:space="preserve">，但对文件的具体形式不作强制规定。实践中普遍采用</w:t>
      </w:r>
      <w:r>
        <w:t xml:space="preserve">“</w:t>
      </w:r>
      <w:r>
        <w:t xml:space="preserve">金字塔</w:t>
      </w:r>
      <w:r>
        <w:t xml:space="preserve">”</w:t>
      </w:r>
      <w:r>
        <w:t xml:space="preserve">式的四级文件结构，自上而下层层细化、逐级引用：</w:t>
      </w:r>
    </w:p>
    <w:p>
      <w:pPr>
        <w:pStyle w:val="Heading3"/>
      </w:pPr>
      <w:bookmarkStart w:id="22" w:name="一级文件质量手册"/>
      <w:r>
        <w:t xml:space="preserve">1. 一级文件：质量手册</w:t>
      </w:r>
      <w:bookmarkEnd w:id="22"/>
    </w:p>
    <w:p>
      <w:pPr>
        <w:pStyle w:val="FirstParagraph"/>
      </w:pPr>
      <w:r>
        <w:t xml:space="preserve">质量手册是体系的</w:t>
      </w:r>
      <w:r>
        <w:t xml:space="preserve">“</w:t>
      </w:r>
      <w:r>
        <w:t xml:space="preserve">宪法性</w:t>
      </w:r>
      <w:r>
        <w:t xml:space="preserve">”</w:t>
      </w:r>
      <w:r>
        <w:t xml:space="preserve">文件，向外部（认证机构、顾客、监管方）和内部（全体员工）声明组织的质量方针、质量目标、组织职责与体系范围。</w:t>
      </w:r>
    </w:p>
    <w:p>
      <w:pPr>
        <w:numPr>
          <w:ilvl w:val="0"/>
          <w:numId w:val="1001"/>
        </w:numPr>
        <w:pStyle w:val="Compact"/>
      </w:pPr>
      <w:r>
        <w:t xml:space="preserve">典型内容：封面、颁布令、手册说明（含文件编号与版本）、质量方针与质量目标、组织架构与职责分配表、过程识别与条款对照表、程序文件索引。</w:t>
      </w:r>
    </w:p>
    <w:p>
      <w:pPr>
        <w:numPr>
          <w:ilvl w:val="0"/>
          <w:numId w:val="1001"/>
        </w:numPr>
        <w:pStyle w:val="Compact"/>
      </w:pPr>
      <w:r>
        <w:t xml:space="preserve">编写要点：条款覆盖无遗漏（不适用条款须说明理由）；体现过程方法（乌龟图、过程相互作用图）；职责分配表覆盖所有部门与岗位；引用程序文件编号而非重复其内容。</w:t>
      </w:r>
    </w:p>
    <w:p>
      <w:pPr>
        <w:pStyle w:val="Heading3"/>
      </w:pPr>
      <w:bookmarkStart w:id="23" w:name="二级文件程序文件"/>
      <w:r>
        <w:t xml:space="preserve">2. 二级文件：程序文件</w:t>
      </w:r>
      <w:bookmarkEnd w:id="23"/>
    </w:p>
    <w:p>
      <w:pPr>
        <w:pStyle w:val="FirstParagraph"/>
      </w:pPr>
      <w:r>
        <w:t xml:space="preserve">程序文件规定</w:t>
      </w:r>
      <w:r>
        <w:t xml:space="preserve">“</w:t>
      </w:r>
      <w:r>
        <w:t xml:space="preserve">跨部门、重复性</w:t>
      </w:r>
      <w:r>
        <w:t xml:space="preserve">”</w:t>
      </w:r>
      <w:r>
        <w:t xml:space="preserve">活动的流程，是体系运行的中枢。本套包共 27 篇程序文件，对应标准各运行条款。</w:t>
      </w:r>
    </w:p>
    <w:p>
      <w:pPr>
        <w:numPr>
          <w:ilvl w:val="0"/>
          <w:numId w:val="1002"/>
        </w:numPr>
        <w:pStyle w:val="Compact"/>
      </w:pPr>
      <w:r>
        <w:t xml:space="preserve">标准格式：六段式——目的、适用范围、职责、工作程序（含流程图文字版与表单引用）、相关记录、相关文件。</w:t>
      </w:r>
    </w:p>
    <w:p>
      <w:pPr>
        <w:numPr>
          <w:ilvl w:val="0"/>
          <w:numId w:val="1002"/>
        </w:numPr>
        <w:pStyle w:val="Compact"/>
      </w:pPr>
      <w:r>
        <w:t xml:space="preserve">编写要点：职责明确到岗位而非部门泛称；工作程序按 5W1H（做什么、谁做、何时、何地、怎么做、留什么记录）展开；每步可操作、可检查；与手册条款对应关系清晰。</w:t>
      </w:r>
    </w:p>
    <w:p>
      <w:pPr>
        <w:pStyle w:val="Heading3"/>
      </w:pPr>
      <w:bookmarkStart w:id="24" w:name="三级文件作业指导书管理办法"/>
      <w:r>
        <w:t xml:space="preserve">3. 三级文件：作业指导书／管理办法</w:t>
      </w:r>
      <w:bookmarkEnd w:id="24"/>
    </w:p>
    <w:p>
      <w:pPr>
        <w:pStyle w:val="FirstParagraph"/>
      </w:pPr>
      <w:r>
        <w:t xml:space="preserve">三级文件把程序文件中的要求细化为</w:t>
      </w:r>
      <w:r>
        <w:t xml:space="preserve">“</w:t>
      </w:r>
      <w:r>
        <w:t xml:space="preserve">具体岗位怎么做</w:t>
      </w:r>
      <w:r>
        <w:t xml:space="preserve">”</w:t>
      </w:r>
      <w:r>
        <w:t xml:space="preserve">，是操作层面的文件。</w:t>
      </w:r>
    </w:p>
    <w:p>
      <w:pPr>
        <w:numPr>
          <w:ilvl w:val="0"/>
          <w:numId w:val="1003"/>
        </w:numPr>
        <w:pStyle w:val="Compact"/>
      </w:pPr>
      <w:r>
        <w:t xml:space="preserve">类型：作业指导书（操作步骤类，如设备点检、检验作业）、管理办法（制度类，如供方准入、投诉处理）、岗位说明书与任职资格。</w:t>
      </w:r>
    </w:p>
    <w:p>
      <w:pPr>
        <w:numPr>
          <w:ilvl w:val="0"/>
          <w:numId w:val="1003"/>
        </w:numPr>
        <w:pStyle w:val="Compact"/>
      </w:pPr>
      <w:r>
        <w:t xml:space="preserve">编写要点：步骤可照做、参数量化（温度、压力、频次、抽样数）；图文结合；与上级程序文件不冲突、不重复；注明适用设备、物料或岗位。</w:t>
      </w:r>
    </w:p>
    <w:p>
      <w:pPr>
        <w:pStyle w:val="Heading3"/>
      </w:pPr>
      <w:bookmarkStart w:id="25" w:name="四级文件记录表单"/>
      <w:r>
        <w:t xml:space="preserve">4. 四级文件：记录表单</w:t>
      </w:r>
      <w:bookmarkEnd w:id="25"/>
    </w:p>
    <w:p>
      <w:pPr>
        <w:pStyle w:val="FirstParagraph"/>
      </w:pPr>
      <w:r>
        <w:t xml:space="preserve">记录表单是体系运行的</w:t>
      </w:r>
      <w:r>
        <w:t xml:space="preserve">“</w:t>
      </w:r>
      <w:r>
        <w:t xml:space="preserve">证据层</w:t>
      </w:r>
      <w:r>
        <w:t xml:space="preserve">”</w:t>
      </w:r>
      <w:r>
        <w:t xml:space="preserve">，证明</w:t>
      </w:r>
      <w:r>
        <w:t xml:space="preserve">“</w:t>
      </w:r>
      <w:r>
        <w:t xml:space="preserve">说了就做、做了就记</w:t>
      </w:r>
      <w:r>
        <w:t xml:space="preserve">”</w:t>
      </w:r>
      <w:r>
        <w:t xml:space="preserve">。</w:t>
      </w:r>
    </w:p>
    <w:p>
      <w:pPr>
        <w:numPr>
          <w:ilvl w:val="0"/>
          <w:numId w:val="1004"/>
        </w:numPr>
        <w:pStyle w:val="Compact"/>
      </w:pPr>
      <w:r>
        <w:t xml:space="preserve">编写要点：字段与程序文件、指导书要求一一对应；编号唯一、受控发放；留足填写栏与签字栏（操作人、审核人、日期）；表格化、便于统计追溯。</w:t>
      </w:r>
    </w:p>
    <w:p>
      <w:pPr>
        <w:pStyle w:val="FirstParagraph"/>
      </w:pPr>
      <w:r>
        <w:t xml:space="preserve">四级文件的关系可概括为：手册回答</w:t>
      </w:r>
      <w:r>
        <w:t xml:space="preserve">“</w:t>
      </w:r>
      <w:r>
        <w:t xml:space="preserve">为什么做、做什么</w:t>
      </w:r>
      <w:r>
        <w:t xml:space="preserve">”</w:t>
      </w:r>
      <w:r>
        <w:t xml:space="preserve">，程序文件回答</w:t>
      </w:r>
      <w:r>
        <w:t xml:space="preserve">“</w:t>
      </w:r>
      <w:r>
        <w:t xml:space="preserve">谁做、何时做、按什么流程做</w:t>
      </w:r>
      <w:r>
        <w:t xml:space="preserve">”</w:t>
      </w:r>
      <w:r>
        <w:t xml:space="preserve">，作业指导书回答</w:t>
      </w:r>
      <w:r>
        <w:t xml:space="preserve">“</w:t>
      </w:r>
      <w:r>
        <w:t xml:space="preserve">具体怎么做</w:t>
      </w:r>
      <w:r>
        <w:t xml:space="preserve">”</w:t>
      </w:r>
      <w:r>
        <w:t xml:space="preserve">，记录表单留下</w:t>
      </w:r>
      <w:r>
        <w:t xml:space="preserve">“</w:t>
      </w:r>
      <w:r>
        <w:t xml:space="preserve">做过的证据</w:t>
      </w:r>
      <w:r>
        <w:t xml:space="preserve">”</w:t>
      </w:r>
      <w:r>
        <w:t xml:space="preserve">。上级文件引用下级文件编号，形成可追溯的文件链条。</w:t>
      </w:r>
    </w:p>
    <w:p>
      <w:pPr>
        <w:pStyle w:val="Heading2"/>
      </w:pPr>
      <w:bookmarkStart w:id="26" w:name="二iso-90012015-条款对照表"/>
      <w:r>
        <w:t xml:space="preserve">二、ISO 9001:2015 条款对照表</w:t>
      </w:r>
      <w:bookmarkEnd w:id="26"/>
    </w:p>
    <w:p>
      <w:pPr>
        <w:pStyle w:val="FirstParagraph"/>
      </w:pPr>
      <w:r>
        <w:t xml:space="preserve">下表列出标准主要条款与本套包文件的对应关系，编写体系文件时可作为</w:t>
      </w:r>
      <w:r>
        <w:t xml:space="preserve">“</w:t>
      </w:r>
      <w:r>
        <w:t xml:space="preserve">条款覆盖自查表</w:t>
      </w:r>
      <w:r>
        <w:t xml:space="preserve">”</w:t>
      </w:r>
      <w:r>
        <w:t xml:space="preserve">使用：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标准条款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条款名称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对应文件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本套包文件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4.1／4.2</w:t>
            </w:r>
          </w:p>
        </w:tc>
        <w:tc>
          <w:p>
            <w:pPr>
              <w:pStyle w:val="Compact"/>
              <w:jc w:val="left"/>
            </w:pPr>
            <w:r>
              <w:t xml:space="preserve">组织环境／相关方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组织环境与相关方管理程序（序号 5）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4.3／4.4</w:t>
            </w:r>
          </w:p>
        </w:tc>
        <w:tc>
          <w:p>
            <w:pPr>
              <w:pStyle w:val="Compact"/>
              <w:jc w:val="left"/>
            </w:pPr>
            <w:r>
              <w:t xml:space="preserve">体系范围／过程</w:t>
            </w:r>
          </w:p>
        </w:tc>
        <w:tc>
          <w:p>
            <w:pPr>
              <w:pStyle w:val="Compact"/>
              <w:jc w:val="left"/>
            </w:pPr>
            <w:r>
              <w:t xml:space="preserve">一级质量手册</w:t>
            </w:r>
          </w:p>
        </w:tc>
        <w:tc>
          <w:p>
            <w:pPr>
              <w:pStyle w:val="Compact"/>
              <w:jc w:val="left"/>
            </w:pPr>
            <w:r>
              <w:t xml:space="preserve">质量手册（下）：过程识别与条款对照（序号 2）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5.1／5.3</w:t>
            </w:r>
          </w:p>
        </w:tc>
        <w:tc>
          <w:p>
            <w:pPr>
              <w:pStyle w:val="Compact"/>
              <w:jc w:val="left"/>
            </w:pPr>
            <w:r>
              <w:t xml:space="preserve">领导作用／职责权限</w:t>
            </w:r>
          </w:p>
        </w:tc>
        <w:tc>
          <w:p>
            <w:pPr>
              <w:pStyle w:val="Compact"/>
              <w:jc w:val="left"/>
            </w:pPr>
            <w:r>
              <w:t xml:space="preserve">一级质量手册</w:t>
            </w:r>
          </w:p>
        </w:tc>
        <w:tc>
          <w:p>
            <w:pPr>
              <w:pStyle w:val="Compact"/>
              <w:jc w:val="left"/>
            </w:pPr>
            <w:r>
              <w:t xml:space="preserve">质量手册（上）：方针、目标与组织职责（序号 1）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5.2／6.2</w:t>
            </w:r>
          </w:p>
        </w:tc>
        <w:tc>
          <w:p>
            <w:pPr>
              <w:pStyle w:val="Compact"/>
              <w:jc w:val="left"/>
            </w:pPr>
            <w:r>
              <w:t xml:space="preserve">方针／质量目标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质量方针与质量目标管理程序（序号 7）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6.1</w:t>
            </w:r>
          </w:p>
        </w:tc>
        <w:tc>
          <w:p>
            <w:pPr>
              <w:pStyle w:val="Compact"/>
              <w:jc w:val="left"/>
            </w:pPr>
            <w:r>
              <w:t xml:space="preserve">风险和机遇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风险与机遇管理程序（序号 6）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6.3／8.5.6</w:t>
            </w:r>
          </w:p>
        </w:tc>
        <w:tc>
          <w:p>
            <w:pPr>
              <w:pStyle w:val="Compact"/>
              <w:jc w:val="left"/>
            </w:pPr>
            <w:r>
              <w:t xml:space="preserve">变更的策划／更改控制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变更管理程序（序号 29）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7.1.2／7.2／7.3</w:t>
            </w:r>
          </w:p>
        </w:tc>
        <w:tc>
          <w:p>
            <w:pPr>
              <w:pStyle w:val="Compact"/>
              <w:jc w:val="left"/>
            </w:pPr>
            <w:r>
              <w:t xml:space="preserve">人员／能力／意识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人力资源管理程序（序号 8）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7.1.3</w:t>
            </w:r>
          </w:p>
        </w:tc>
        <w:tc>
          <w:p>
            <w:pPr>
              <w:pStyle w:val="Compact"/>
              <w:jc w:val="left"/>
            </w:pPr>
            <w:r>
              <w:t xml:space="preserve">基础设施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基础设施与设备管理程序（序号 9）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7.1.5</w:t>
            </w:r>
          </w:p>
        </w:tc>
        <w:tc>
          <w:p>
            <w:pPr>
              <w:pStyle w:val="Compact"/>
              <w:jc w:val="left"/>
            </w:pPr>
            <w:r>
              <w:t xml:space="preserve">监视和测量资源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监视和测量资源控制程序（序号 10）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7.1.6</w:t>
            </w:r>
          </w:p>
        </w:tc>
        <w:tc>
          <w:p>
            <w:pPr>
              <w:pStyle w:val="Compact"/>
              <w:jc w:val="left"/>
            </w:pPr>
            <w:r>
              <w:t xml:space="preserve">组织的知识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知识管理程序（序号 11）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7.4</w:t>
            </w:r>
          </w:p>
        </w:tc>
        <w:tc>
          <w:p>
            <w:pPr>
              <w:pStyle w:val="Compact"/>
              <w:jc w:val="left"/>
            </w:pPr>
            <w:r>
              <w:t xml:space="preserve">沟通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沟通管理程序（序号 12）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7.5</w:t>
            </w:r>
          </w:p>
        </w:tc>
        <w:tc>
          <w:p>
            <w:pPr>
              <w:pStyle w:val="Compact"/>
              <w:jc w:val="left"/>
            </w:pPr>
            <w:r>
              <w:t xml:space="preserve">成文信息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文件控制程序（序号 3）、记录控制程序（序号 4）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8.1</w:t>
            </w:r>
          </w:p>
        </w:tc>
        <w:tc>
          <w:p>
            <w:pPr>
              <w:pStyle w:val="Compact"/>
              <w:jc w:val="left"/>
            </w:pPr>
            <w:r>
              <w:t xml:space="preserve">运行策划和控制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产品实现策划程序（序号 13）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8.2</w:t>
            </w:r>
          </w:p>
        </w:tc>
        <w:tc>
          <w:p>
            <w:pPr>
              <w:pStyle w:val="Compact"/>
              <w:jc w:val="left"/>
            </w:pPr>
            <w:r>
              <w:t xml:space="preserve">产品和服务的要求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与顾客有关的过程控制程序（序号 14）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8.3</w:t>
            </w:r>
          </w:p>
        </w:tc>
        <w:tc>
          <w:p>
            <w:pPr>
              <w:pStyle w:val="Compact"/>
              <w:jc w:val="left"/>
            </w:pPr>
            <w:r>
              <w:t xml:space="preserve">设计和开发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设计和开发控制程序（序号 15）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8.4</w:t>
            </w:r>
          </w:p>
        </w:tc>
        <w:tc>
          <w:p>
            <w:pPr>
              <w:pStyle w:val="Compact"/>
              <w:jc w:val="left"/>
            </w:pPr>
            <w:r>
              <w:t xml:space="preserve">外部提供的控制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采购与外部提供控制程序（序号 16）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8.5.1</w:t>
            </w:r>
          </w:p>
        </w:tc>
        <w:tc>
          <w:p>
            <w:pPr>
              <w:pStyle w:val="Compact"/>
              <w:jc w:val="left"/>
            </w:pPr>
            <w:r>
              <w:t xml:space="preserve">生产和服务提供的控制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生产过程控制程序（序号 17）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8.5.2</w:t>
            </w:r>
          </w:p>
        </w:tc>
        <w:tc>
          <w:p>
            <w:pPr>
              <w:pStyle w:val="Compact"/>
              <w:jc w:val="left"/>
            </w:pPr>
            <w:r>
              <w:t xml:space="preserve">标识和可追溯性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标识和可追溯性控制程序（序号 18）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8.5.3</w:t>
            </w:r>
          </w:p>
        </w:tc>
        <w:tc>
          <w:p>
            <w:pPr>
              <w:pStyle w:val="Compact"/>
              <w:jc w:val="left"/>
            </w:pPr>
            <w:r>
              <w:t xml:space="preserve">顾客或外部供方的财产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顾客财产控制程序（序号 19）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8.5.4</w:t>
            </w:r>
          </w:p>
        </w:tc>
        <w:tc>
          <w:p>
            <w:pPr>
              <w:pStyle w:val="Compact"/>
              <w:jc w:val="left"/>
            </w:pPr>
            <w:r>
              <w:t xml:space="preserve">防护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产品防护控制程序（序号 20）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8.6</w:t>
            </w:r>
          </w:p>
        </w:tc>
        <w:tc>
          <w:p>
            <w:pPr>
              <w:pStyle w:val="Compact"/>
              <w:jc w:val="left"/>
            </w:pPr>
            <w:r>
              <w:t xml:space="preserve">产品和服务的放行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产品放行控制程序（序号 21）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8.7</w:t>
            </w:r>
          </w:p>
        </w:tc>
        <w:tc>
          <w:p>
            <w:pPr>
              <w:pStyle w:val="Compact"/>
              <w:jc w:val="left"/>
            </w:pPr>
            <w:r>
              <w:t xml:space="preserve">不合格输出的控制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不合格品控制程序（序号 22）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9.1.2</w:t>
            </w:r>
          </w:p>
        </w:tc>
        <w:tc>
          <w:p>
            <w:pPr>
              <w:pStyle w:val="Compact"/>
              <w:jc w:val="left"/>
            </w:pPr>
            <w:r>
              <w:t xml:space="preserve">顾客满意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顾客满意监视测量程序（序号 23）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9.1.3</w:t>
            </w:r>
          </w:p>
        </w:tc>
        <w:tc>
          <w:p>
            <w:pPr>
              <w:pStyle w:val="Compact"/>
              <w:jc w:val="left"/>
            </w:pPr>
            <w:r>
              <w:t xml:space="preserve">分析与评价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数据分析与评价程序（序号 24）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9.2</w:t>
            </w:r>
          </w:p>
        </w:tc>
        <w:tc>
          <w:p>
            <w:pPr>
              <w:pStyle w:val="Compact"/>
              <w:jc w:val="left"/>
            </w:pPr>
            <w:r>
              <w:t xml:space="preserve">内部审核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内部审核程序（序号 25）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9.3</w:t>
            </w:r>
          </w:p>
        </w:tc>
        <w:tc>
          <w:p>
            <w:pPr>
              <w:pStyle w:val="Compact"/>
              <w:jc w:val="left"/>
            </w:pPr>
            <w:r>
              <w:t xml:space="preserve">管理评审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管理评审程序（序号 26）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10.2</w:t>
            </w:r>
          </w:p>
        </w:tc>
        <w:tc>
          <w:p>
            <w:pPr>
              <w:pStyle w:val="Compact"/>
              <w:jc w:val="left"/>
            </w:pPr>
            <w:r>
              <w:t xml:space="preserve">不合格和纠正措施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不合格与纠正措施程序（序号 27）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10.1／10.3</w:t>
            </w:r>
          </w:p>
        </w:tc>
        <w:tc>
          <w:p>
            <w:pPr>
              <w:pStyle w:val="Compact"/>
              <w:jc w:val="left"/>
            </w:pPr>
            <w:r>
              <w:t xml:space="preserve">改进</w:t>
            </w:r>
          </w:p>
        </w:tc>
        <w:tc>
          <w:p>
            <w:pPr>
              <w:pStyle w:val="Compact"/>
              <w:jc w:val="left"/>
            </w:pPr>
            <w:r>
              <w:t xml:space="preserve">二级程序文件</w:t>
            </w:r>
          </w:p>
        </w:tc>
        <w:tc>
          <w:p>
            <w:pPr>
              <w:pStyle w:val="Compact"/>
              <w:jc w:val="left"/>
            </w:pPr>
            <w:r>
              <w:t xml:space="preserve">持续改进程序（序号 28）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8.5.1</w:t>
            </w:r>
          </w:p>
        </w:tc>
        <w:tc>
          <w:p>
            <w:pPr>
              <w:pStyle w:val="Compact"/>
              <w:jc w:val="left"/>
            </w:pPr>
            <w:r>
              <w:t xml:space="preserve">过程控制细化</w:t>
            </w:r>
          </w:p>
        </w:tc>
        <w:tc>
          <w:p>
            <w:pPr>
              <w:pStyle w:val="Compact"/>
              <w:jc w:val="left"/>
            </w:pPr>
            <w:r>
              <w:t xml:space="preserve">三级作业指导书</w:t>
            </w:r>
          </w:p>
        </w:tc>
        <w:tc>
          <w:p>
            <w:pPr>
              <w:pStyle w:val="Compact"/>
              <w:jc w:val="left"/>
            </w:pPr>
            <w:r>
              <w:t xml:space="preserve">检验、点检、计量等作业指导书（序号 30～47）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7.5.3</w:t>
            </w:r>
          </w:p>
        </w:tc>
        <w:tc>
          <w:p>
            <w:pPr>
              <w:pStyle w:val="Compact"/>
              <w:jc w:val="left"/>
            </w:pPr>
            <w:r>
              <w:t xml:space="preserve">记录证据</w:t>
            </w:r>
          </w:p>
        </w:tc>
        <w:tc>
          <w:p>
            <w:pPr>
              <w:pStyle w:val="Compact"/>
              <w:jc w:val="left"/>
            </w:pPr>
            <w:r>
              <w:t xml:space="preserve">四级记录表单</w:t>
            </w:r>
          </w:p>
        </w:tc>
        <w:tc>
          <w:p>
            <w:pPr>
              <w:pStyle w:val="Compact"/>
              <w:jc w:val="left"/>
            </w:pPr>
            <w:r>
              <w:t xml:space="preserve">八大类记录表单模板（序号 48～55）</w:t>
            </w:r>
          </w:p>
        </w:tc>
      </w:tr>
    </w:tbl>
    <w:p>
      <w:pPr>
        <w:pStyle w:val="Heading2"/>
      </w:pPr>
      <w:bookmarkStart w:id="27" w:name="三从零建立体系的-8-步路线图"/>
      <w:r>
        <w:t xml:space="preserve">三、从零建立体系的 8 步路线图</w:t>
      </w:r>
      <w:bookmarkEnd w:id="27"/>
    </w:p>
    <w:p>
      <w:pPr>
        <w:pStyle w:val="FirstParagraph"/>
      </w:pPr>
      <w:r>
        <w:t xml:space="preserve">以下路线图按</w:t>
      </w:r>
      <w:r>
        <w:t xml:space="preserve">“</w:t>
      </w:r>
      <w:r>
        <w:t xml:space="preserve">先策划、再写文件、后运行验证</w:t>
      </w:r>
      <w:r>
        <w:t xml:space="preserve">”</w:t>
      </w:r>
      <w:r>
        <w:t xml:space="preserve">的逻辑展开，总周期一般 6～8 个月；管理基础较好的企业可压缩至 3～4 个月。</w:t>
      </w:r>
    </w:p>
    <w:p>
      <w:pPr>
        <w:pStyle w:val="BodyText"/>
      </w:pPr>
      <w:r>
        <w:rPr>
          <w:b/>
        </w:rPr>
        <w:t xml:space="preserve">第 1 步：高层决策与组织准备（0.5～1 个月）</w:t>
      </w:r>
      <w:r>
        <w:t xml:space="preserve"> </w:t>
      </w:r>
      <w:r>
        <w:t xml:space="preserve">总经理签发体系建设决议，任命管理者代表，成立跨部门推进小组，确定总体时间表与资源预算。关键输出：体系建设决议、推进小组名单、时间表。常见误区：只挂名不参与，导致后续方针、目标、资源全部落空。</w:t>
      </w:r>
    </w:p>
    <w:p>
      <w:pPr>
        <w:pStyle w:val="BodyText"/>
      </w:pPr>
      <w:r>
        <w:rPr>
          <w:b/>
        </w:rPr>
        <w:t xml:space="preserve">第 2 步：现状调研与差距分析（1～2 周）</w:t>
      </w:r>
      <w:r>
        <w:t xml:space="preserve"> </w:t>
      </w:r>
      <w:r>
        <w:t xml:space="preserve">对照标准条款逐条梳理现有制度、流程、记录、岗位设置，识别</w:t>
      </w:r>
      <w:r>
        <w:t xml:space="preserve">“</w:t>
      </w:r>
      <w:r>
        <w:t xml:space="preserve">已有、部分有、没有</w:t>
      </w:r>
      <w:r>
        <w:t xml:space="preserve">”</w:t>
      </w:r>
      <w:r>
        <w:t xml:space="preserve">三档差距。关键输出：差距分析报告、需新建文件清单。这一步决定文件</w:t>
      </w:r>
      <w:r>
        <w:t xml:space="preserve">“</w:t>
      </w:r>
      <w:r>
        <w:t xml:space="preserve">写多少</w:t>
      </w:r>
      <w:r>
        <w:t xml:space="preserve">”</w:t>
      </w:r>
      <w:r>
        <w:t xml:space="preserve">，避免照抄模板导致文件与现场两张皮。</w:t>
      </w:r>
    </w:p>
    <w:p>
      <w:pPr>
        <w:pStyle w:val="BodyText"/>
      </w:pPr>
      <w:r>
        <w:rPr>
          <w:b/>
        </w:rPr>
        <w:t xml:space="preserve">第 3 步：体系策划（1～2 周）</w:t>
      </w:r>
      <w:r>
        <w:t xml:space="preserve"> </w:t>
      </w:r>
      <w:r>
        <w:t xml:space="preserve">确定体系范围（含不适用条款及理由）、过程清单与过程顺序、文件清单框架，拟定质量方针与质量目标初稿。关键输出：范围声明、过程清单、文件清单。注意：范围表述要与营业执照经营范围、实际业务一致。</w:t>
      </w:r>
    </w:p>
    <w:p>
      <w:pPr>
        <w:pStyle w:val="BodyText"/>
      </w:pPr>
      <w:r>
        <w:rPr>
          <w:b/>
        </w:rPr>
        <w:t xml:space="preserve">第 4 步：文件编写（1～2 个月）</w:t>
      </w:r>
      <w:r>
        <w:t xml:space="preserve"> </w:t>
      </w:r>
      <w:r>
        <w:t xml:space="preserve">按</w:t>
      </w:r>
      <w:r>
        <w:t xml:space="preserve">“</w:t>
      </w:r>
      <w:r>
        <w:t xml:space="preserve">手册→程序文件→作业指导书→记录表单</w:t>
      </w:r>
      <w:r>
        <w:t xml:space="preserve">”</w:t>
      </w:r>
      <w:r>
        <w:t xml:space="preserve">的顺序逐份编写，本套包各篇模板可直接套用修改。关键输出：全套体系文件草案。编写时坚持</w:t>
      </w:r>
      <w:r>
        <w:t xml:space="preserve">“</w:t>
      </w:r>
      <w:r>
        <w:t xml:space="preserve">写你所做、做你所写</w:t>
      </w:r>
      <w:r>
        <w:t xml:space="preserve">”</w:t>
      </w:r>
      <w:r>
        <w:t xml:space="preserve">，先梳理实际做法再成文。</w:t>
      </w:r>
    </w:p>
    <w:p>
      <w:pPr>
        <w:pStyle w:val="BodyText"/>
      </w:pPr>
      <w:r>
        <w:rPr>
          <w:b/>
        </w:rPr>
        <w:t xml:space="preserve">第 5 步：文件评审、批准与发布（1～2 周）</w:t>
      </w:r>
      <w:r>
        <w:t xml:space="preserve"> </w:t>
      </w:r>
      <w:r>
        <w:t xml:space="preserve">组织跨部门会审（重点核对职责、接口、表单字段），按文件控制程序完成批准、编号、受控发放，并组织全员培训宣贯。关键输出：评审记录、批准发布记录、培训记录。</w:t>
      </w:r>
    </w:p>
    <w:p>
      <w:pPr>
        <w:pStyle w:val="BodyText"/>
      </w:pPr>
      <w:r>
        <w:rPr>
          <w:b/>
        </w:rPr>
        <w:t xml:space="preserve">第 6 步：体系试运行（约 3 个月）</w:t>
      </w:r>
      <w:r>
        <w:t xml:space="preserve"> </w:t>
      </w:r>
      <w:r>
        <w:t xml:space="preserve">按文件规定运行，如实填写记录，收集执行中的问题，及时修订文件。试运行期是认证前最关键的</w:t>
      </w:r>
      <w:r>
        <w:t xml:space="preserve">“</w:t>
      </w:r>
      <w:r>
        <w:t xml:space="preserve">磨合期</w:t>
      </w:r>
      <w:r>
        <w:t xml:space="preserve">”</w:t>
      </w:r>
      <w:r>
        <w:t xml:space="preserve">，至少应覆盖一次完整的订单交付循环。关键输出：运行记录、文件修订记录、问题清单。</w:t>
      </w:r>
    </w:p>
    <w:p>
      <w:pPr>
        <w:pStyle w:val="BodyText"/>
      </w:pPr>
      <w:r>
        <w:rPr>
          <w:b/>
        </w:rPr>
        <w:t xml:space="preserve">第 7 步：内部审核与管理评审（2～4 周）</w:t>
      </w:r>
      <w:r>
        <w:t xml:space="preserve"> </w:t>
      </w:r>
      <w:r>
        <w:t xml:space="preserve">培训并任命内审员，按内部审核程序实施覆盖全部条款与部门的内部审核，开具不符合项并完成整改验证；随后召开管理评审，评价体系适宜性、充分性、有效性。关键输出：内审全套记录、不符合项报告、整改验证记录、管理评审报告。</w:t>
      </w:r>
    </w:p>
    <w:p>
      <w:pPr>
        <w:pStyle w:val="BodyText"/>
      </w:pPr>
      <w:r>
        <w:rPr>
          <w:b/>
        </w:rPr>
        <w:t xml:space="preserve">第 8 步：认证审核与持续改进（1～2 个月）</w:t>
      </w:r>
      <w:r>
        <w:t xml:space="preserve"> </w:t>
      </w:r>
      <w:r>
        <w:t xml:space="preserve">向认证机构提交申请，接受一阶段（文件）审核与二阶段（现场）审核，对审核发现完成纠正与纠正措施，取得证书后按年度监督审核计划持续改进。关键输出：审核报告、不符合项整改证据、认证证书。</w:t>
      </w:r>
    </w:p>
    <w:p>
      <w:pPr>
        <w:pStyle w:val="Heading2"/>
      </w:pPr>
      <w:bookmarkStart w:id="28" w:name="四认证审核应对要点"/>
      <w:r>
        <w:t xml:space="preserve">四、认证审核应对要点</w:t>
      </w:r>
      <w:bookmarkEnd w:id="28"/>
    </w:p>
    <w:p>
      <w:pPr>
        <w:pStyle w:val="FirstParagraph"/>
      </w:pPr>
      <w:r>
        <w:rPr>
          <w:b/>
        </w:rPr>
        <w:t xml:space="preserve">一阶段审核（文件审核）</w:t>
      </w:r>
      <w:r>
        <w:t xml:space="preserve">：审核组远程或现场确认体系文件是否覆盖标准要求、范围界定是否合理、现场是否具备审核条件。应对要点：手册的条款对照表完整、不适用条款有书面理由；程序文件与手册引用关系清晰；记录表单与程序要求对应。</w:t>
      </w:r>
    </w:p>
    <w:p>
      <w:pPr>
        <w:pStyle w:val="BodyText"/>
      </w:pPr>
      <w:r>
        <w:rPr>
          <w:b/>
        </w:rPr>
        <w:t xml:space="preserve">二阶段审核（现场审核）</w:t>
      </w:r>
      <w:r>
        <w:t xml:space="preserve">：审核组按过程方法抽样验证文件执行情况。应对要点：领导作用有证据（方针目标宣贯记录、管理评审亲自主持）；过程运行记录完整可追溯；内审、管理评审形成闭环；纠正措施有有效性验证。</w:t>
      </w:r>
    </w:p>
    <w:p>
      <w:pPr>
        <w:pStyle w:val="BodyText"/>
      </w:pPr>
      <w:r>
        <w:rPr>
          <w:b/>
        </w:rPr>
        <w:t xml:space="preserve">高频不符合项及预防</w:t>
      </w:r>
      <w:r>
        <w:t xml:space="preserve">：文件发放未受控、现场使用作废版本（靠受控发放与定期检查预防）；记录填写不完整、无法追溯（靠表单字段设计与培训预防）；设备超期未校准（靠台账与校准计划预防）；培训有效性未评价（靠考核与上岗证预防）；风险与机遇分析流于形式（靠与经营会议结合预防）；内审员审核本部门（靠审核方案轮换预防）；管理评审输入不完整（靠输入清单检查表预防）。</w:t>
      </w:r>
    </w:p>
    <w:p>
      <w:pPr>
        <w:pStyle w:val="BodyText"/>
      </w:pPr>
      <w:r>
        <w:rPr>
          <w:b/>
        </w:rPr>
        <w:t xml:space="preserve">现场应对策略</w:t>
      </w:r>
      <w:r>
        <w:t xml:space="preserve">：审核前组织一次模拟审核预演；各部门指定陪同人员并熟悉本部门文件；文件在现场可随时获取；坚持</w:t>
      </w:r>
      <w:r>
        <w:t xml:space="preserve">“</w:t>
      </w:r>
      <w:r>
        <w:t xml:space="preserve">如实作答、拿记录说话</w:t>
      </w:r>
      <w:r>
        <w:t xml:space="preserve">”</w:t>
      </w:r>
      <w:r>
        <w:t xml:space="preserve">，不编造、不争辩。</w:t>
      </w:r>
    </w:p>
    <w:p>
      <w:pPr>
        <w:pStyle w:val="Heading2"/>
      </w:pPr>
      <w:bookmarkStart w:id="29" w:name="五使用说明"/>
      <w:r>
        <w:t xml:space="preserve">五、使用说明</w:t>
      </w:r>
      <w:bookmarkEnd w:id="29"/>
    </w:p>
    <w:p>
      <w:pPr>
        <w:pStyle w:val="FirstParagraph"/>
      </w:pPr>
      <w:r>
        <w:rPr>
          <w:b/>
        </w:rPr>
        <w:t xml:space="preserve">如何按企业实际修改</w:t>
      </w:r>
      <w:r>
        <w:t xml:space="preserve">：一是组织架构适配——没有研发部门的企业，可在手册中声明 8.3 不适用并说明理由，删除相应程序文件；二是产品类型适配——纯服务型企业可将生产过程控制程序改写为服务提供控制，突出服务规范与顾客沟通；三是规模适配——小微企业可将性质相近的程序合并编写（如将标识、防护合并），但标准条款覆盖不得减少；四是行业适配——受法规监管的行业（食品、医疗、建筑）须在程序文件中补充强制法规要求。</w:t>
      </w:r>
    </w:p>
    <w:p>
      <w:pPr>
        <w:pStyle w:val="BodyText"/>
      </w:pPr>
      <w:r>
        <w:rPr>
          <w:b/>
        </w:rPr>
        <w:t xml:space="preserve">审核关注点</w:t>
      </w:r>
      <w:r>
        <w:t xml:space="preserve">：审核员最看重</w:t>
      </w:r>
      <w:r>
        <w:t xml:space="preserve">“</w:t>
      </w:r>
      <w:r>
        <w:t xml:space="preserve">说、写、做一致</w:t>
      </w:r>
      <w:r>
        <w:t xml:space="preserve">”</w:t>
      </w:r>
      <w:r>
        <w:t xml:space="preserve">——文件怎么规定、现场就怎么做、记录就怎么留。文件与现场不符比没有文件更严重。</w:t>
      </w:r>
    </w:p>
    <w:p>
      <w:pPr>
        <w:pStyle w:val="BodyText"/>
      </w:pPr>
      <w:r>
        <w:rPr>
          <w:b/>
        </w:rPr>
        <w:t xml:space="preserve">常见错误</w:t>
      </w:r>
      <w:r>
        <w:t xml:space="preserve">：直接照搬模板不结合本企业实际；职责分配与实际岗位不符；程序文件与作业指导书内容冲突；记录事后补造失去真实性；文件版本失控、新旧混用；只建文件不运行，把认证当</w:t>
      </w:r>
      <w:r>
        <w:t xml:space="preserve">“</w:t>
      </w:r>
      <w:r>
        <w:t xml:space="preserve">买证</w:t>
      </w:r>
      <w:r>
        <w:t xml:space="preserve">”</w:t>
      </w:r>
      <w:r>
        <w:t xml:space="preserve">。</w:t>
      </w:r>
    </w:p>
    <w:p>
      <w:pPr>
        <w:pStyle w:val="BodyText"/>
      </w:pPr>
      <w:r>
        <w:rPr>
          <w:b/>
        </w:rPr>
        <w:t xml:space="preserve">套包使用路径</w:t>
      </w:r>
      <w:r>
        <w:t xml:space="preserve">：本篇定框架 → 质量手册（序号 1、2）→ 27 篇程序文件（序号 3～29）→ 18 篇作业指导书（序号 30～47）→ 8 篇记录表单模板（序号 48～55），按序落地后即构成一套完整、可运行、可迎审的四级体系文件。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四级文件定框架，八步路线建体系，逐份落地可迎审。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2026-09-12T10:35:32Z</dcterms:created>
  <dcterms:modified xsi:type="dcterms:W3CDTF">2026-09-12T10:35:32Z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