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18标识和可追溯性控制程序8.5.2"/>
      <w:r>
        <w:t xml:space="preserve">ISO9001体系文件套包（18）｜标识和可追溯性控制程序（8.5.2）</w:t>
      </w:r>
      <w:bookmarkEnd w:id="20"/>
    </w:p>
    <w:p>
      <w:pPr>
        <w:pStyle w:val="Heading2"/>
      </w:pPr>
      <w:bookmarkStart w:id="21" w:name="文件说明"/>
      <w:r>
        <w:t xml:space="preserve">文件说明</w:t>
      </w:r>
      <w:bookmarkEnd w:id="21"/>
    </w:p>
    <w:p>
      <w:pPr>
        <w:pStyle w:val="FirstParagraph"/>
      </w:pPr>
      <w:r>
        <w:t xml:space="preserve">本程序对应 ISO 9001:2015 标准 8.5.2 条款</w:t>
      </w:r>
      <w:r>
        <w:t xml:space="preserve">“</w:t>
      </w:r>
      <w:r>
        <w:t xml:space="preserve">标识和可追溯性</w:t>
      </w:r>
      <w:r>
        <w:t xml:space="preserve">”</w:t>
      </w:r>
      <w:r>
        <w:t xml:space="preserve">，是产品实现过程（COP）的重要支持性程序。它的作用是：在生产和服务提供的全过程中，通过产品标识、检验状态标识和唯一性标识（批次号/序列号/追溯号）三类标识的有效管理，防止产品混淆、防止不合格品被误用或误放行，并在发生质量问题时能够沿</w:t>
      </w:r>
      <w:r>
        <w:t xml:space="preserve">“</w:t>
      </w:r>
      <w:r>
        <w:t xml:space="preserve">原料→半成品→成品→交付</w:t>
      </w:r>
      <w:r>
        <w:t xml:space="preserve">”</w:t>
      </w:r>
      <w:r>
        <w:t xml:space="preserve">链条快速定位问题批次、锁定范围、实施召回或处置。本程序适用于机械加工、电子装配、注塑、食品、化工、制药、建材等各类制造型企业，也适用于有批次管理要求的服务与贸易型企业。中小企业在导入时可按产品复杂程度选择</w:t>
      </w:r>
      <w:r>
        <w:t xml:space="preserve">“</w:t>
      </w:r>
      <w:r>
        <w:t xml:space="preserve">批次追溯</w:t>
      </w:r>
      <w:r>
        <w:t xml:space="preserve">”</w:t>
      </w:r>
      <w:r>
        <w:t xml:space="preserve">或</w:t>
      </w:r>
      <w:r>
        <w:t xml:space="preserve">“</w:t>
      </w:r>
      <w:r>
        <w:t xml:space="preserve">单件追溯</w:t>
      </w:r>
      <w:r>
        <w:t xml:space="preserve">”</w:t>
      </w:r>
      <w:r>
        <w:t xml:space="preserve">模式，但标识的建立、转移、记录三个环节必须形成闭环。本程序与《生产过程控制程序》《不合格品控制程序》《产品防护控制程序》《产品放行控制程序》配套使用。</w:t>
      </w:r>
    </w:p>
    <w:p>
      <w:pPr>
        <w:pStyle w:val="Heading2"/>
      </w:pPr>
      <w:bookmarkStart w:id="22" w:name="一目的"/>
      <w:r>
        <w:t xml:space="preserve">一、目的</w:t>
      </w:r>
      <w:bookmarkEnd w:id="22"/>
    </w:p>
    <w:p>
      <w:pPr>
        <w:pStyle w:val="FirstParagraph"/>
      </w:pPr>
      <w:r>
        <w:t xml:space="preserve">规范产品标识、检验状态标识和可追溯性管理活动，达到以下目标：</w:t>
      </w:r>
    </w:p>
    <w:p>
      <w:pPr>
        <w:numPr>
          <w:ilvl w:val="0"/>
          <w:numId w:val="1001"/>
        </w:numPr>
        <w:pStyle w:val="Compact"/>
      </w:pPr>
      <w:r>
        <w:t xml:space="preserve">在产品实现全过程中，采用适当的方法识别产品，防止不同品种、规格、批次的产品相互混淆；</w:t>
      </w:r>
    </w:p>
    <w:p>
      <w:pPr>
        <w:numPr>
          <w:ilvl w:val="0"/>
          <w:numId w:val="1001"/>
        </w:numPr>
        <w:pStyle w:val="Compact"/>
      </w:pPr>
      <w:r>
        <w:t xml:space="preserve">明确产品所处的检验状态（待检、合格、不合格、待处理），防止未经检验或不合格的产品被误用、误放行；</w:t>
      </w:r>
    </w:p>
    <w:p>
      <w:pPr>
        <w:numPr>
          <w:ilvl w:val="0"/>
          <w:numId w:val="1001"/>
        </w:numPr>
        <w:pStyle w:val="Compact"/>
      </w:pPr>
      <w:r>
        <w:t xml:space="preserve">在有可追溯性要求的场合，建立并保持唯一性标识，实现从原料到交付的正向追溯和从顾客反馈到原料的反向追溯；</w:t>
      </w:r>
    </w:p>
    <w:p>
      <w:pPr>
        <w:numPr>
          <w:ilvl w:val="0"/>
          <w:numId w:val="1001"/>
        </w:numPr>
        <w:pStyle w:val="Compact"/>
      </w:pPr>
      <w:r>
        <w:t xml:space="preserve">标识相关的记录真实、完整、清晰，与实物一一对应，为产品放行、不合格处置和持续改进提供依据。</w:t>
      </w:r>
    </w:p>
    <w:p>
      <w:pPr>
        <w:pStyle w:val="Heading2"/>
      </w:pPr>
      <w:bookmarkStart w:id="23" w:name="二适用范围"/>
      <w:r>
        <w:t xml:space="preserve">二、适用范围</w:t>
      </w:r>
      <w:bookmarkEnd w:id="23"/>
    </w:p>
    <w:p>
      <w:pPr>
        <w:pStyle w:val="FirstParagraph"/>
      </w:pPr>
      <w:r>
        <w:t xml:space="preserve">适用于本公司从采购物资进厂、生产加工、检验试验、包装入库到产品交付全过程的产品标识与可追溯性管理，包括但不限于：</w:t>
      </w:r>
    </w:p>
    <w:p>
      <w:pPr>
        <w:numPr>
          <w:ilvl w:val="0"/>
          <w:numId w:val="1002"/>
        </w:numPr>
        <w:pStyle w:val="Compact"/>
      </w:pPr>
      <w:r>
        <w:t xml:space="preserve">原材料、外购件、外协件、包装材料的标识与状态管理；</w:t>
      </w:r>
    </w:p>
    <w:p>
      <w:pPr>
        <w:numPr>
          <w:ilvl w:val="0"/>
          <w:numId w:val="1002"/>
        </w:numPr>
        <w:pStyle w:val="Compact"/>
      </w:pPr>
      <w:r>
        <w:t xml:space="preserve">在制品、半成品在各工序流转过程中的标识与状态管理；</w:t>
      </w:r>
    </w:p>
    <w:p>
      <w:pPr>
        <w:numPr>
          <w:ilvl w:val="0"/>
          <w:numId w:val="1002"/>
        </w:numPr>
        <w:pStyle w:val="Compact"/>
      </w:pPr>
      <w:r>
        <w:t xml:space="preserve">成品、待检品、合格品、不合格品、返工返修品的状态标识管理；</w:t>
      </w:r>
    </w:p>
    <w:p>
      <w:pPr>
        <w:numPr>
          <w:ilvl w:val="0"/>
          <w:numId w:val="1002"/>
        </w:numPr>
        <w:pStyle w:val="Compact"/>
      </w:pPr>
      <w:r>
        <w:t xml:space="preserve">顾客有可追溯性要求（合同、订单、技术协议中约定）或法律法规要求必须追溯的产品（如食品、药品、压力容器、汽车零部件等）的批次/单件追溯管理；</w:t>
      </w:r>
    </w:p>
    <w:p>
      <w:pPr>
        <w:numPr>
          <w:ilvl w:val="0"/>
          <w:numId w:val="1002"/>
        </w:numPr>
        <w:pStyle w:val="Compact"/>
      </w:pPr>
      <w:r>
        <w:t xml:space="preserve">样品、试制品、试验品、报废品的标识与隔离管理。</w:t>
      </w:r>
    </w:p>
    <w:p>
      <w:pPr>
        <w:pStyle w:val="FirstParagraph"/>
      </w:pPr>
      <w:r>
        <w:t xml:space="preserve">以下情形参照本程序执行：顾客提供的财产（按《顾客财产控制程序》管理，但标识方法适用本程序）；委外加工产品的标识（由供方按本程序要求实施，本公司负责在合同中明确并验证）。</w:t>
      </w:r>
    </w:p>
    <w:p>
      <w:pPr>
        <w:pStyle w:val="Heading2"/>
      </w:pPr>
      <w:bookmarkStart w:id="24" w:name="三职责"/>
      <w:r>
        <w:t xml:space="preserve">三、职责</w:t>
      </w:r>
      <w:bookmarkEnd w:id="2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品质部经理</w:t>
            </w:r>
          </w:p>
        </w:tc>
        <w:tc>
          <w:p>
            <w:pPr>
              <w:pStyle w:val="Compact"/>
              <w:jc w:val="left"/>
            </w:pPr>
            <w:r>
              <w:t xml:space="preserve">归口管理标识与可追溯性工作；审批标识管理规定与追溯方案；组织追溯演练；判定标识异常的处理结果。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技术部/工艺部</w:t>
            </w:r>
          </w:p>
        </w:tc>
        <w:tc>
          <w:p>
            <w:pPr>
              <w:pStyle w:val="Compact"/>
              <w:jc w:val="left"/>
            </w:pPr>
            <w:r>
              <w:t xml:space="preserve">确定产品的标识方式、标识内容与追溯编码规则；在工艺文件/控制计划中明确各工序的标识要求。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仓库/物料员</w:t>
            </w:r>
          </w:p>
        </w:tc>
        <w:tc>
          <w:p>
            <w:pPr>
              <w:pStyle w:val="Compact"/>
              <w:jc w:val="left"/>
            </w:pPr>
            <w:r>
              <w:t xml:space="preserve">对入库物料、半成品、成品实施标识；维护标识的完好；按先进先出原则管理批次；办理标识转移与交接。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车间主任/班组长</w:t>
            </w:r>
          </w:p>
        </w:tc>
        <w:tc>
          <w:p>
            <w:pPr>
              <w:pStyle w:val="Compact"/>
              <w:jc w:val="left"/>
            </w:pPr>
            <w:r>
              <w:t xml:space="preserve">组织本车间标识的实施与维护；监督操作工正确标识；发现标识缺失、损坏及时组织补标并上报。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操作工</w:t>
            </w:r>
          </w:p>
        </w:tc>
        <w:tc>
          <w:p>
            <w:pPr>
              <w:pStyle w:val="Compact"/>
              <w:jc w:val="left"/>
            </w:pPr>
            <w:r>
              <w:t xml:space="preserve">按作业指导书要求正确制作、粘贴、填写标识；流转时随产品传递标识；发现标识异常立即报告。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对检验合格的批次加贴合格状态标识；对不合格品加贴不合格标识并监督隔离；在检验记录中登记批次号。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销售部/客服</w:t>
            </w:r>
          </w:p>
        </w:tc>
        <w:tc>
          <w:p>
            <w:pPr>
              <w:pStyle w:val="Compact"/>
              <w:jc w:val="left"/>
            </w:pPr>
            <w:r>
              <w:t xml:space="preserve">在合同评审时明确顾客对可追溯性的要求；传递顾客追溯需求；顾客投诉时提供追溯信息。</w:t>
            </w:r>
          </w:p>
        </w:tc>
      </w:tr>
    </w:tbl>
    <w:p>
      <w:pPr>
        <w:pStyle w:val="Heading2"/>
      </w:pPr>
      <w:bookmarkStart w:id="25" w:name="四工作程序"/>
      <w:r>
        <w:t xml:space="preserve">四、工作程序</w:t>
      </w:r>
      <w:bookmarkEnd w:id="25"/>
    </w:p>
    <w:p>
      <w:pPr>
        <w:pStyle w:val="Heading3"/>
      </w:pPr>
      <w:bookmarkStart w:id="26" w:name="标识的策划"/>
      <w:r>
        <w:t xml:space="preserve">4.1 标识的策划</w:t>
      </w:r>
      <w:bookmarkEnd w:id="26"/>
    </w:p>
    <w:p>
      <w:pPr>
        <w:numPr>
          <w:ilvl w:val="0"/>
          <w:numId w:val="1003"/>
        </w:numPr>
        <w:pStyle w:val="Compact"/>
      </w:pPr>
      <w:r>
        <w:t xml:space="preserve">技术部在产品设计或工艺策划阶段，依据产品特点、顾客要求和法律法规要求，确定标识方式，并在工艺文件或控制计划中予以规定：</w:t>
      </w:r>
    </w:p>
    <w:p>
      <w:pPr>
        <w:numPr>
          <w:ilvl w:val="1"/>
          <w:numId w:val="1004"/>
        </w:numPr>
        <w:pStyle w:val="Compact"/>
      </w:pPr>
      <w:r>
        <w:t xml:space="preserve">标识方式包括：标签/标牌、喷码/打码、条码/二维码、色标、区域标识、流程卡/随工单等；</w:t>
      </w:r>
    </w:p>
    <w:p>
      <w:pPr>
        <w:numPr>
          <w:ilvl w:val="1"/>
          <w:numId w:val="1004"/>
        </w:numPr>
        <w:pStyle w:val="Compact"/>
      </w:pPr>
      <w:r>
        <w:t xml:space="preserve">标识内容一般包括：产品名称、规格型号、批次号/炉号/日期代码、数量、供方名称（物料标识）、检验状态等；</w:t>
      </w:r>
    </w:p>
    <w:p>
      <w:pPr>
        <w:numPr>
          <w:ilvl w:val="1"/>
          <w:numId w:val="1004"/>
        </w:numPr>
        <w:pStyle w:val="Compact"/>
      </w:pPr>
      <w:r>
        <w:t xml:space="preserve">标识位置：产品本体、包装单元、周转容器、货位卡等，应醒目、不易脱落、不影响产品质量和外观。</w:t>
      </w:r>
    </w:p>
    <w:p>
      <w:pPr>
        <w:numPr>
          <w:ilvl w:val="0"/>
          <w:numId w:val="1003"/>
        </w:numPr>
        <w:pStyle w:val="Compact"/>
      </w:pPr>
      <w:r>
        <w:t xml:space="preserve">对有可追溯性要求的产品，技术部会同品质部编制《产品追溯方案》，明确追溯范围（追溯到原料批次还是单件）、追溯编码规则（如</w:t>
      </w:r>
      <w:r>
        <w:t xml:space="preserve">“</w:t>
      </w:r>
      <w:r>
        <w:t xml:space="preserve">生产日期+线别+班次+序列号</w:t>
      </w:r>
      <w:r>
        <w:t xml:space="preserve">”</w:t>
      </w:r>
      <w:r>
        <w:t xml:space="preserve">）、追溯记录载体与保存要求。</w:t>
      </w:r>
    </w:p>
    <w:p>
      <w:pPr>
        <w:numPr>
          <w:ilvl w:val="0"/>
          <w:numId w:val="1003"/>
        </w:numPr>
        <w:pStyle w:val="Compact"/>
      </w:pPr>
      <w:r>
        <w:t xml:space="preserve">标识方式一经确定，变更时须经技术部评审、品质部会签，防止新旧标识方式混淆。</w:t>
      </w:r>
    </w:p>
    <w:p>
      <w:pPr>
        <w:pStyle w:val="Heading3"/>
      </w:pPr>
      <w:bookmarkStart w:id="27" w:name="产品标识身份标识"/>
      <w:r>
        <w:t xml:space="preserve">4.2 产品标识（身份标识）</w:t>
      </w:r>
      <w:bookmarkEnd w:id="27"/>
    </w:p>
    <w:p>
      <w:pPr>
        <w:numPr>
          <w:ilvl w:val="0"/>
          <w:numId w:val="1005"/>
        </w:numPr>
        <w:pStyle w:val="Compact"/>
      </w:pPr>
      <w:r>
        <w:t xml:space="preserve">采购物资入库时，仓库管理员核对物料与《采购申请单》/送货单一致后，按物料编码建立标识，注明物料名称、规格、数量、供方、入库日期、批次号，并录入台账或 ERP 系统。</w:t>
      </w:r>
    </w:p>
    <w:p>
      <w:pPr>
        <w:numPr>
          <w:ilvl w:val="0"/>
          <w:numId w:val="1005"/>
        </w:numPr>
        <w:pStyle w:val="Compact"/>
      </w:pPr>
      <w:r>
        <w:t xml:space="preserve">生产领料时，物料员将领用批次信息登记在《领料单》上；车间按批次领用、按批次投料，禁止混批投料（特殊情况下需混批时，须经品质部批准并记录）。</w:t>
      </w:r>
    </w:p>
    <w:p>
      <w:pPr>
        <w:numPr>
          <w:ilvl w:val="0"/>
          <w:numId w:val="1005"/>
        </w:numPr>
        <w:pStyle w:val="Compact"/>
      </w:pPr>
      <w:r>
        <w:t xml:space="preserve">生产过程中，在制品随《流程卡/随工单》流转，随工单载明产品名称、规格、工序流转记录、操作人、检验记录、批次号；每道工序完成后，操作工在随工单上签字确认。</w:t>
      </w:r>
    </w:p>
    <w:p>
      <w:pPr>
        <w:numPr>
          <w:ilvl w:val="0"/>
          <w:numId w:val="1005"/>
        </w:numPr>
        <w:pStyle w:val="Compact"/>
      </w:pPr>
      <w:r>
        <w:t xml:space="preserve">成品包装时，包装工在包装单元（箱、托盘）上粘贴成品标签，注明产品名称、规格、数量、批次号、生产日期、检验状态；发货时，仓库按出货批次建立《发货记录》，登记发货日期、顾客名称、批次号、数量。</w:t>
      </w:r>
    </w:p>
    <w:p>
      <w:pPr>
        <w:numPr>
          <w:ilvl w:val="0"/>
          <w:numId w:val="1005"/>
        </w:numPr>
        <w:pStyle w:val="Compact"/>
      </w:pPr>
      <w:r>
        <w:t xml:space="preserve">标识应保持清晰、牢固；使用过程中发现标识脱落、模糊、损坏的，由责任岗位重新确认实物信息后补标，禁止凭记忆补标。</w:t>
      </w:r>
    </w:p>
    <w:p>
      <w:pPr>
        <w:pStyle w:val="Heading3"/>
      </w:pPr>
      <w:bookmarkStart w:id="28" w:name="检验状态标识"/>
      <w:r>
        <w:t xml:space="preserve">4.3 检验状态标识</w:t>
      </w:r>
      <w:bookmarkEnd w:id="28"/>
    </w:p>
    <w:p>
      <w:pPr>
        <w:numPr>
          <w:ilvl w:val="0"/>
          <w:numId w:val="1006"/>
        </w:numPr>
        <w:pStyle w:val="Compact"/>
      </w:pPr>
      <w:r>
        <w:t xml:space="preserve">所有产品在检验完成前，必须处于明确的检验状态标识之下，状态分为四类：待检、合格、不合格、待处理（让步接收/返工返修/报废评审中）。</w:t>
      </w:r>
    </w:p>
    <w:p>
      <w:pPr>
        <w:numPr>
          <w:ilvl w:val="0"/>
          <w:numId w:val="1006"/>
        </w:numPr>
        <w:pStyle w:val="Compact"/>
      </w:pPr>
      <w:r>
        <w:t xml:space="preserve">检验状态标识方法：</w:t>
      </w:r>
    </w:p>
    <w:p>
      <w:pPr>
        <w:numPr>
          <w:ilvl w:val="1"/>
          <w:numId w:val="1007"/>
        </w:numPr>
        <w:pStyle w:val="Compact"/>
      </w:pPr>
      <w:r>
        <w:t xml:space="preserve">待检：放置于</w:t>
      </w:r>
      <w:r>
        <w:t xml:space="preserve">“</w:t>
      </w:r>
      <w:r>
        <w:t xml:space="preserve">待检区</w:t>
      </w:r>
      <w:r>
        <w:t xml:space="preserve">”</w:t>
      </w:r>
      <w:r>
        <w:t xml:space="preserve">（区域标识或黄色标识牌），或挂</w:t>
      </w:r>
      <w:r>
        <w:t xml:space="preserve">“</w:t>
      </w:r>
      <w:r>
        <w:t xml:space="preserve">待检</w:t>
      </w:r>
      <w:r>
        <w:t xml:space="preserve">”</w:t>
      </w:r>
      <w:r>
        <w:t xml:space="preserve">标签；</w:t>
      </w:r>
    </w:p>
    <w:p>
      <w:pPr>
        <w:numPr>
          <w:ilvl w:val="1"/>
          <w:numId w:val="1007"/>
        </w:numPr>
        <w:pStyle w:val="Compact"/>
      </w:pPr>
      <w:r>
        <w:t xml:space="preserve">合格：检验合格后由检验员加贴绿色</w:t>
      </w:r>
      <w:r>
        <w:t xml:space="preserve">“</w:t>
      </w:r>
      <w:r>
        <w:t xml:space="preserve">合格</w:t>
      </w:r>
      <w:r>
        <w:t xml:space="preserve">”</w:t>
      </w:r>
      <w:r>
        <w:t xml:space="preserve">标签/盖合格章，或在随工单检验栏签字放行；</w:t>
      </w:r>
    </w:p>
    <w:p>
      <w:pPr>
        <w:numPr>
          <w:ilvl w:val="1"/>
          <w:numId w:val="1007"/>
        </w:numPr>
        <w:pStyle w:val="Compact"/>
      </w:pPr>
      <w:r>
        <w:t xml:space="preserve">不合格：由检验员加贴红色</w:t>
      </w:r>
      <w:r>
        <w:t xml:space="preserve">“</w:t>
      </w:r>
      <w:r>
        <w:t xml:space="preserve">不合格</w:t>
      </w:r>
      <w:r>
        <w:t xml:space="preserve">”</w:t>
      </w:r>
      <w:r>
        <w:t xml:space="preserve">标签，并立即移入</w:t>
      </w:r>
      <w:r>
        <w:t xml:space="preserve">“</w:t>
      </w:r>
      <w:r>
        <w:t xml:space="preserve">不合格品隔离区</w:t>
      </w:r>
      <w:r>
        <w:t xml:space="preserve">”</w:t>
      </w:r>
      <w:r>
        <w:t xml:space="preserve">（红色区域），防止误用；</w:t>
      </w:r>
    </w:p>
    <w:p>
      <w:pPr>
        <w:numPr>
          <w:ilvl w:val="1"/>
          <w:numId w:val="1007"/>
        </w:numPr>
        <w:pStyle w:val="Compact"/>
      </w:pPr>
      <w:r>
        <w:t xml:space="preserve">待处理：挂</w:t>
      </w:r>
      <w:r>
        <w:t xml:space="preserve">“</w:t>
      </w:r>
      <w:r>
        <w:t xml:space="preserve">待处理</w:t>
      </w:r>
      <w:r>
        <w:t xml:space="preserve">”</w:t>
      </w:r>
      <w:r>
        <w:t xml:space="preserve">标识（黄色），等待评审结论，评审期间任何部门不得擅自使用或转移。</w:t>
      </w:r>
    </w:p>
    <w:p>
      <w:pPr>
        <w:numPr>
          <w:ilvl w:val="0"/>
          <w:numId w:val="1006"/>
        </w:numPr>
        <w:pStyle w:val="Compact"/>
      </w:pPr>
      <w:r>
        <w:t xml:space="preserve">检验状态标识的更改只能由检验员实施；任何人不得擅自涂改、撕毁、更换检验状态标识。生产过程中发现标识状态与实物不符的，立即停止流转并报告品质部。</w:t>
      </w:r>
    </w:p>
    <w:p>
      <w:pPr>
        <w:numPr>
          <w:ilvl w:val="0"/>
          <w:numId w:val="1006"/>
        </w:numPr>
        <w:pStyle w:val="Compact"/>
      </w:pPr>
      <w:r>
        <w:t xml:space="preserve">返工、返修后的产品必须重新检验，由检验员按重新检验结论更新状态标识，并保留原不合格记录。</w:t>
      </w:r>
    </w:p>
    <w:p>
      <w:pPr>
        <w:pStyle w:val="Heading3"/>
      </w:pPr>
      <w:bookmarkStart w:id="29" w:name="可追溯性管理"/>
      <w:r>
        <w:t xml:space="preserve">4.4 可追溯性管理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追溯链路的建立：以批次号（或序列号）为主线，将以下记录关联起来，形成完整追溯链：</w:t>
      </w:r>
    </w:p>
    <w:p>
      <w:pPr>
        <w:numPr>
          <w:ilvl w:val="1"/>
          <w:numId w:val="1009"/>
        </w:numPr>
        <w:pStyle w:val="Compact"/>
      </w:pPr>
      <w:r>
        <w:t xml:space="preserve">原料批次：采购订单号、供方、来料检验记录、入库批次号；</w:t>
      </w:r>
    </w:p>
    <w:p>
      <w:pPr>
        <w:numPr>
          <w:ilvl w:val="1"/>
          <w:numId w:val="1009"/>
        </w:numPr>
        <w:pStyle w:val="Compact"/>
      </w:pPr>
      <w:r>
        <w:t xml:space="preserve">生产过程：投料记录、工序流转记录（随工单）、过程检验记录、设备/工装使用记录、操作人员；</w:t>
      </w:r>
    </w:p>
    <w:p>
      <w:pPr>
        <w:numPr>
          <w:ilvl w:val="1"/>
          <w:numId w:val="1009"/>
        </w:numPr>
        <w:pStyle w:val="Compact"/>
      </w:pPr>
      <w:r>
        <w:t xml:space="preserve">成品与交付：成品批次号、出厂检验记录、包装发货记录、顾客名称与交付日期。</w:t>
      </w:r>
    </w:p>
    <w:p>
      <w:pPr>
        <w:numPr>
          <w:ilvl w:val="0"/>
          <w:numId w:val="1008"/>
        </w:numPr>
        <w:pStyle w:val="Compact"/>
      </w:pPr>
      <w:r>
        <w:t xml:space="preserve">追溯编码规则示例：成品批次号 = 生产日期（YYYYMMDD）＋线别代码＋班次代码＋流水号，如</w:t>
      </w:r>
      <w:r>
        <w:t xml:space="preserve">“</w:t>
      </w:r>
      <w:r>
        <w:t xml:space="preserve">20260827A1-001</w:t>
      </w:r>
      <w:r>
        <w:t xml:space="preserve">”</w:t>
      </w:r>
      <w:r>
        <w:t xml:space="preserve">；原料批次号 = 供方代码＋到货日期＋流水号。企业可根据产品特点自定规则，但必须唯一、稳定、可读。</w:t>
      </w:r>
    </w:p>
    <w:p>
      <w:pPr>
        <w:numPr>
          <w:ilvl w:val="0"/>
          <w:numId w:val="1008"/>
        </w:numPr>
        <w:pStyle w:val="Compact"/>
      </w:pPr>
      <w:r>
        <w:t xml:space="preserve">有追溯要求的产品，各环节记录必须随实物同步流转，做到</w:t>
      </w:r>
      <w:r>
        <w:t xml:space="preserve">“</w:t>
      </w:r>
      <w:r>
        <w:t xml:space="preserve">物到记录到</w:t>
      </w:r>
      <w:r>
        <w:t xml:space="preserve">”</w:t>
      </w:r>
      <w:r>
        <w:t xml:space="preserve">；记录填写应及时、真实、完整，不得提前填写或事后补填。</w:t>
      </w:r>
    </w:p>
    <w:p>
      <w:pPr>
        <w:numPr>
          <w:ilvl w:val="0"/>
          <w:numId w:val="1008"/>
        </w:numPr>
        <w:pStyle w:val="Compact"/>
      </w:pPr>
      <w:r>
        <w:t xml:space="preserve">品质部每年至少组织一次追溯演练（模拟顾客投诉场景，从成品批次反向追溯至原料批次及全部过程记录），验证追溯链路的完整性和时效性，并记录演练结果；追溯演练中发现断链的，按《不合格与纠正措施程序》实施纠正措施。</w:t>
      </w:r>
    </w:p>
    <w:p>
      <w:pPr>
        <w:numPr>
          <w:ilvl w:val="0"/>
          <w:numId w:val="1008"/>
        </w:numPr>
        <w:pStyle w:val="Compact"/>
      </w:pPr>
      <w:r>
        <w:t xml:space="preserve">出口产品、法规强制追溯产品（如食品、药品等）的追溯要求不能满足时，该批产品不得放行，并报告管理者代表组织评审。</w:t>
      </w:r>
    </w:p>
    <w:p>
      <w:pPr>
        <w:pStyle w:val="Heading3"/>
      </w:pPr>
      <w:bookmarkStart w:id="30" w:name="标识的转移与保护"/>
      <w:r>
        <w:t xml:space="preserve">4.5 标识的转移与保护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产品流转至下一区域/工序时，标识随实物同步转移；分装、拆包、换包装时，必须同步更换标识，并保证新旧标识信息一致。</w:t>
      </w:r>
    </w:p>
    <w:p>
      <w:pPr>
        <w:numPr>
          <w:ilvl w:val="0"/>
          <w:numId w:val="1010"/>
        </w:numPr>
        <w:pStyle w:val="Compact"/>
      </w:pPr>
      <w:r>
        <w:t xml:space="preserve">标识与产品分离时（如标识粘贴在周转容器上），容器内产品清空或更换产品时，必须清除旧标识，防止张冠李戴。</w:t>
      </w:r>
    </w:p>
    <w:p>
      <w:pPr>
        <w:numPr>
          <w:ilvl w:val="0"/>
          <w:numId w:val="1010"/>
        </w:numPr>
        <w:pStyle w:val="Compact"/>
      </w:pPr>
      <w:r>
        <w:t xml:space="preserve">仓库按</w:t>
      </w:r>
      <w:r>
        <w:t xml:space="preserve">“</w:t>
      </w:r>
      <w:r>
        <w:t xml:space="preserve">先进先出</w:t>
      </w:r>
      <w:r>
        <w:t xml:space="preserve">”</w:t>
      </w:r>
      <w:r>
        <w:t xml:space="preserve">原则管理批次，货位卡与实物标识一致，定期（每月至少一次）核对账、物、卡一致性。</w:t>
      </w:r>
    </w:p>
    <w:p>
      <w:pPr>
        <w:pStyle w:val="Heading3"/>
      </w:pPr>
      <w:bookmarkStart w:id="31" w:name="标识异常的处理"/>
      <w:r>
        <w:t xml:space="preserve">4.6 标识异常的处理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发现标识缺失、错误、模糊、状态不符时，责任部门应立即停止相关产品的流转，报告品质部；</w:t>
      </w:r>
    </w:p>
    <w:p>
      <w:pPr>
        <w:numPr>
          <w:ilvl w:val="0"/>
          <w:numId w:val="1011"/>
        </w:numPr>
        <w:pStyle w:val="Compact"/>
      </w:pPr>
      <w:r>
        <w:t xml:space="preserve">品质部组织对受影响批次进行核查：能通过记录和实物信息确认其身份和状态的，办理补标/更正手续后恢复流转；无法确认的，按《不合格品控制程序》重新检验判定；</w:t>
      </w:r>
    </w:p>
    <w:p>
      <w:pPr>
        <w:numPr>
          <w:ilvl w:val="0"/>
          <w:numId w:val="1011"/>
        </w:numPr>
        <w:pStyle w:val="Compact"/>
      </w:pPr>
      <w:r>
        <w:t xml:space="preserve">因标识错误导致不合格品流出或混淆的，按《不合格与纠正措施程序》启动纠正措施，分析根因（标识方法、人员培训、流程漏洞等）并跟踪验证。</w:t>
      </w:r>
    </w:p>
    <w:p>
      <w:pPr>
        <w:pStyle w:val="Heading3"/>
      </w:pPr>
      <w:bookmarkStart w:id="32" w:name="流程图文字版"/>
      <w:r>
        <w:t xml:space="preserve">4.7 流程图（文字版）</w:t>
      </w:r>
      <w:bookmarkEnd w:id="32"/>
    </w:p>
    <w:p>
      <w:pPr>
        <w:pStyle w:val="FirstParagraph"/>
      </w:pPr>
      <w:r>
        <w:t xml:space="preserve">开始 → 标识策划（方式/内容/追溯规则确定）→ 物料入库标识 → 领料投料登记批次 → 工序流转随工单传递标识 → 检验并更新状态标识（合格/不合格/待处理）→ 不合格品隔离标识 → 成品包装标识 → 入库/发货登记批次 → 追溯记录归档保存 → 定期核对与追溯演练 → 结束。</w:t>
      </w:r>
    </w:p>
    <w:p>
      <w:pPr>
        <w:pStyle w:val="BodyText"/>
      </w:pPr>
      <w:r>
        <w:t xml:space="preserve">异常分支：标识缺失/损坏 → 停止流转 → 品质部核查 → 确认身份补标或重新检验 → 记录处置结果。</w:t>
      </w:r>
    </w:p>
    <w:p>
      <w:pPr>
        <w:pStyle w:val="Heading3"/>
      </w:pPr>
      <w:bookmarkStart w:id="33" w:name="标识记录的保存"/>
      <w:r>
        <w:t xml:space="preserve">4.8 标识记录的保存</w:t>
      </w:r>
      <w:bookmarkEnd w:id="33"/>
    </w:p>
    <w:p>
      <w:pPr>
        <w:pStyle w:val="FirstParagraph"/>
      </w:pPr>
      <w:r>
        <w:t xml:space="preserve">标识与追溯相关的记录（随工单、检验记录、领料单、发货记录、追溯演练记录等）按《记录控制程序》管理，保存期限一般为产品生命周期加 1 年，或按顾客要求、法规要求执行；电子记录应定期备份，防止丢失。</w:t>
      </w:r>
    </w:p>
    <w:p>
      <w:pPr>
        <w:pStyle w:val="Heading2"/>
      </w:pPr>
      <w:bookmarkStart w:id="34" w:name="五相关记录"/>
      <w:r>
        <w:t xml:space="preserve">五、相关记录</w:t>
      </w:r>
      <w:bookmarkEnd w:id="3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编号（示例）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产品标识标签/批次卡</w:t>
            </w:r>
          </w:p>
        </w:tc>
        <w:tc>
          <w:p>
            <w:pPr>
              <w:pStyle w:val="Compact"/>
              <w:jc w:val="left"/>
            </w:pPr>
            <w:r>
              <w:t xml:space="preserve">QR-18-01</w:t>
            </w:r>
          </w:p>
        </w:tc>
        <w:tc>
          <w:p>
            <w:pPr>
              <w:pStyle w:val="Compact"/>
              <w:jc w:val="left"/>
            </w:pPr>
            <w:r>
              <w:t xml:space="preserve">仓库/车间</w:t>
            </w:r>
          </w:p>
        </w:tc>
        <w:tc>
          <w:p>
            <w:pPr>
              <w:pStyle w:val="Compact"/>
              <w:jc w:val="left"/>
            </w:pPr>
            <w:r>
              <w:t xml:space="preserve">随货流转，留存至产品交付后 1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流程卡（随工单）</w:t>
            </w:r>
          </w:p>
        </w:tc>
        <w:tc>
          <w:p>
            <w:pPr>
              <w:pStyle w:val="Compact"/>
              <w:jc w:val="left"/>
            </w:pPr>
            <w:r>
              <w:t xml:space="preserve">QR-18-02</w:t>
            </w:r>
          </w:p>
        </w:tc>
        <w:tc>
          <w:p>
            <w:pPr>
              <w:pStyle w:val="Compact"/>
              <w:jc w:val="left"/>
            </w:pPr>
            <w:r>
              <w:t xml:space="preserve">操作工/检验员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领料单（含批次信息）</w:t>
            </w:r>
          </w:p>
        </w:tc>
        <w:tc>
          <w:p>
            <w:pPr>
              <w:pStyle w:val="Compact"/>
              <w:jc w:val="left"/>
            </w:pPr>
            <w:r>
              <w:t xml:space="preserve">QR-18-03</w:t>
            </w:r>
          </w:p>
        </w:tc>
        <w:tc>
          <w:p>
            <w:pPr>
              <w:pStyle w:val="Compact"/>
              <w:jc w:val="left"/>
            </w:pPr>
            <w:r>
              <w:t xml:space="preserve">物料员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成品标签/装箱单</w:t>
            </w:r>
          </w:p>
        </w:tc>
        <w:tc>
          <w:p>
            <w:pPr>
              <w:pStyle w:val="Compact"/>
              <w:jc w:val="left"/>
            </w:pPr>
            <w:r>
              <w:t xml:space="preserve">QR-18-04</w:t>
            </w:r>
          </w:p>
        </w:tc>
        <w:tc>
          <w:p>
            <w:pPr>
              <w:pStyle w:val="Compact"/>
              <w:jc w:val="left"/>
            </w:pPr>
            <w:r>
              <w:t xml:space="preserve">包装工/仓库</w:t>
            </w:r>
          </w:p>
        </w:tc>
        <w:tc>
          <w:p>
            <w:pPr>
              <w:pStyle w:val="Compact"/>
              <w:jc w:val="left"/>
            </w:pPr>
            <w:r>
              <w:t xml:space="preserve">1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发货记录（含批次）</w:t>
            </w:r>
          </w:p>
        </w:tc>
        <w:tc>
          <w:p>
            <w:pPr>
              <w:pStyle w:val="Compact"/>
              <w:jc w:val="left"/>
            </w:pPr>
            <w:r>
              <w:t xml:space="preserve">QR-18-05</w:t>
            </w:r>
          </w:p>
        </w:tc>
        <w:tc>
          <w:p>
            <w:pPr>
              <w:pStyle w:val="Compact"/>
              <w:jc w:val="left"/>
            </w:pPr>
            <w:r>
              <w:t xml:space="preserve">仓库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追溯演练记录</w:t>
            </w:r>
          </w:p>
        </w:tc>
        <w:tc>
          <w:p>
            <w:pPr>
              <w:pStyle w:val="Compact"/>
              <w:jc w:val="left"/>
            </w:pPr>
            <w:r>
              <w:t xml:space="preserve">QR-18-06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标识异常处理单</w:t>
            </w:r>
          </w:p>
        </w:tc>
        <w:tc>
          <w:p>
            <w:pPr>
              <w:pStyle w:val="Compact"/>
              <w:jc w:val="left"/>
            </w:pPr>
            <w:r>
              <w:t xml:space="preserve">QR-18-07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Heading2"/>
      </w:pPr>
      <w:bookmarkStart w:id="35" w:name="六相关文件"/>
      <w:r>
        <w:t xml:space="preserve">六、相关文件</w:t>
      </w:r>
      <w:bookmarkEnd w:id="35"/>
    </w:p>
    <w:p>
      <w:pPr>
        <w:numPr>
          <w:ilvl w:val="0"/>
          <w:numId w:val="1012"/>
        </w:numPr>
        <w:pStyle w:val="Compact"/>
      </w:pPr>
      <w:r>
        <w:t xml:space="preserve">《文件控制程序》</w:t>
      </w:r>
    </w:p>
    <w:p>
      <w:pPr>
        <w:numPr>
          <w:ilvl w:val="0"/>
          <w:numId w:val="1012"/>
        </w:numPr>
        <w:pStyle w:val="Compact"/>
      </w:pPr>
      <w:r>
        <w:t xml:space="preserve">《记录控制程序》</w:t>
      </w:r>
    </w:p>
    <w:p>
      <w:pPr>
        <w:numPr>
          <w:ilvl w:val="0"/>
          <w:numId w:val="1012"/>
        </w:numPr>
        <w:pStyle w:val="Compact"/>
      </w:pPr>
      <w:r>
        <w:t xml:space="preserve">《生产过程控制程序》</w:t>
      </w:r>
    </w:p>
    <w:p>
      <w:pPr>
        <w:numPr>
          <w:ilvl w:val="0"/>
          <w:numId w:val="1012"/>
        </w:numPr>
        <w:pStyle w:val="Compact"/>
      </w:pPr>
      <w:r>
        <w:t xml:space="preserve">《不合格品控制程序》</w:t>
      </w:r>
    </w:p>
    <w:p>
      <w:pPr>
        <w:numPr>
          <w:ilvl w:val="0"/>
          <w:numId w:val="1012"/>
        </w:numPr>
        <w:pStyle w:val="Compact"/>
      </w:pPr>
      <w:r>
        <w:t xml:space="preserve">《产品防护控制程序》</w:t>
      </w:r>
    </w:p>
    <w:p>
      <w:pPr>
        <w:numPr>
          <w:ilvl w:val="0"/>
          <w:numId w:val="1012"/>
        </w:numPr>
        <w:pStyle w:val="Compact"/>
      </w:pPr>
      <w:r>
        <w:t xml:space="preserve">《产品放行控制程序》</w:t>
      </w:r>
    </w:p>
    <w:p>
      <w:pPr>
        <w:numPr>
          <w:ilvl w:val="0"/>
          <w:numId w:val="1012"/>
        </w:numPr>
        <w:pStyle w:val="Compact"/>
      </w:pPr>
      <w:r>
        <w:t xml:space="preserve">《顾客财产控制程序》</w:t>
      </w:r>
    </w:p>
    <w:p>
      <w:pPr>
        <w:numPr>
          <w:ilvl w:val="0"/>
          <w:numId w:val="1012"/>
        </w:numPr>
        <w:pStyle w:val="Compact"/>
      </w:pPr>
      <w:r>
        <w:t xml:space="preserve">《采购与外部提供控制程序》</w:t>
      </w:r>
    </w:p>
    <w:p>
      <w:pPr>
        <w:numPr>
          <w:ilvl w:val="0"/>
          <w:numId w:val="1012"/>
        </w:numPr>
        <w:pStyle w:val="Compact"/>
      </w:pPr>
      <w:r>
        <w:t xml:space="preserve">《不合格与纠正措施程序》</w:t>
      </w:r>
    </w:p>
    <w:p>
      <w:pPr>
        <w:pStyle w:val="Heading2"/>
      </w:pPr>
      <w:bookmarkStart w:id="36" w:name="使用说明"/>
      <w:r>
        <w:t xml:space="preserve">使用说明</w:t>
      </w:r>
      <w:bookmarkEnd w:id="36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3"/>
        </w:numPr>
        <w:pStyle w:val="Compact"/>
      </w:pPr>
      <w:r>
        <w:t xml:space="preserve">标识方式选择：单件价值高、安全风险大的产品（如汽车零部件、医疗器械、压力容器）建议采用单件唯一标识（序列号/二维码）；批量大、价值低的产品（如通用五金件、包装材料）采用批次标识即可，无需逐件打码，避免成本浪费。</w:t>
      </w:r>
    </w:p>
    <w:p>
      <w:pPr>
        <w:numPr>
          <w:ilvl w:val="0"/>
          <w:numId w:val="1013"/>
        </w:numPr>
        <w:pStyle w:val="Compact"/>
      </w:pPr>
      <w:r>
        <w:t xml:space="preserve">追溯深度：追溯要求不高的企业，可只追溯到</w:t>
      </w:r>
      <w:r>
        <w:t xml:space="preserve">“</w:t>
      </w:r>
      <w:r>
        <w:t xml:space="preserve">原料批次＋生产日期</w:t>
      </w:r>
      <w:r>
        <w:t xml:space="preserve">”</w:t>
      </w:r>
      <w:r>
        <w:t xml:space="preserve">层面；食品、药品等法规强制追溯行业，必须按法规要求追溯到原料供应商的批号甚至产地，追溯方案需单独编制并经管理者代表批准。</w:t>
      </w:r>
    </w:p>
    <w:p>
      <w:pPr>
        <w:numPr>
          <w:ilvl w:val="0"/>
          <w:numId w:val="1013"/>
        </w:numPr>
        <w:pStyle w:val="Compact"/>
      </w:pPr>
      <w:r>
        <w:t xml:space="preserve">编码规则：根据企业 ERP/MES 系统能力设计编码规则，尽量与系统批次号一致，避免手工编码与系统编码</w:t>
      </w:r>
      <w:r>
        <w:t xml:space="preserve">“</w:t>
      </w:r>
      <w:r>
        <w:t xml:space="preserve">两套账</w:t>
      </w:r>
      <w:r>
        <w:t xml:space="preserve">”</w:t>
      </w:r>
      <w:r>
        <w:t xml:space="preserve">；没有信息系统的企业，可用</w:t>
      </w:r>
      <w:r>
        <w:t xml:space="preserve">“</w:t>
      </w:r>
      <w:r>
        <w:t xml:space="preserve">日期＋流水号</w:t>
      </w:r>
      <w:r>
        <w:t xml:space="preserve">”</w:t>
      </w:r>
      <w:r>
        <w:t xml:space="preserve">手工编号，但必须在台账上登记。</w:t>
      </w:r>
    </w:p>
    <w:p>
      <w:pPr>
        <w:numPr>
          <w:ilvl w:val="0"/>
          <w:numId w:val="1013"/>
        </w:numPr>
        <w:pStyle w:val="Compact"/>
      </w:pPr>
      <w:r>
        <w:t xml:space="preserve">组织适配：小型企业可将品质部经理的归口职责合并到质量主管；仓库与车间的标识职责可按实际岗位调整，但</w:t>
      </w:r>
      <w:r>
        <w:t xml:space="preserve">“</w:t>
      </w:r>
      <w:r>
        <w:t xml:space="preserve">标识实施—检验状态确认—记录归档</w:t>
      </w:r>
      <w:r>
        <w:t xml:space="preserve">”</w:t>
      </w:r>
      <w:r>
        <w:t xml:space="preserve">三个环节必须落实到具体岗位。</w:t>
      </w:r>
    </w:p>
    <w:p>
      <w:pPr>
        <w:numPr>
          <w:ilvl w:val="0"/>
          <w:numId w:val="1013"/>
        </w:numPr>
        <w:pStyle w:val="Compact"/>
      </w:pPr>
      <w:r>
        <w:t xml:space="preserve">服务型企业适配：将</w:t>
      </w:r>
      <w:r>
        <w:t xml:space="preserve">“</w:t>
      </w:r>
      <w:r>
        <w:t xml:space="preserve">产品标识</w:t>
      </w:r>
      <w:r>
        <w:t xml:space="preserve">”</w:t>
      </w:r>
      <w:r>
        <w:t xml:space="preserve">转化为</w:t>
      </w:r>
      <w:r>
        <w:t xml:space="preserve">“</w:t>
      </w:r>
      <w:r>
        <w:t xml:space="preserve">服务单据/工单编号</w:t>
      </w:r>
      <w:r>
        <w:t xml:space="preserve">”</w:t>
      </w:r>
      <w:r>
        <w:t xml:space="preserve">，将</w:t>
      </w:r>
      <w:r>
        <w:t xml:space="preserve">“</w:t>
      </w:r>
      <w:r>
        <w:t xml:space="preserve">批次追溯</w:t>
      </w:r>
      <w:r>
        <w:t xml:space="preserve">”</w:t>
      </w:r>
      <w:r>
        <w:t xml:space="preserve">转化为</w:t>
      </w:r>
      <w:r>
        <w:t xml:space="preserve">“</w:t>
      </w:r>
      <w:r>
        <w:t xml:space="preserve">服务人员＋服务时间＋物料批次</w:t>
      </w:r>
      <w:r>
        <w:t xml:space="preserve">”</w:t>
      </w:r>
      <w:r>
        <w:t xml:space="preserve">的关联记录，同样适用本程序的框架。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14"/>
        </w:numPr>
        <w:pStyle w:val="Compact"/>
      </w:pPr>
      <w:r>
        <w:t xml:space="preserve">现场查看：审核员通常会随机抽取一个在制品或成品，要求追溯其原料批次、检验记录、操作人员、发货去向——这就是</w:t>
      </w:r>
      <w:r>
        <w:t xml:space="preserve">“</w:t>
      </w:r>
      <w:r>
        <w:t xml:space="preserve">追溯演练</w:t>
      </w:r>
      <w:r>
        <w:t xml:space="preserve">”</w:t>
      </w:r>
      <w:r>
        <w:t xml:space="preserve">，企业应确保 30 分钟内能完整提供追溯链。</w:t>
      </w:r>
    </w:p>
    <w:p>
      <w:pPr>
        <w:numPr>
          <w:ilvl w:val="0"/>
          <w:numId w:val="1014"/>
        </w:numPr>
        <w:pStyle w:val="Compact"/>
      </w:pPr>
      <w:r>
        <w:t xml:space="preserve">检验状态标识的有效性：待检品、不合格品是否与合格品物理隔离？状态标识是否只有检验员能更改？现场不得出现</w:t>
      </w:r>
      <w:r>
        <w:t xml:space="preserve">“</w:t>
      </w:r>
      <w:r>
        <w:t xml:space="preserve">无标识产品</w:t>
      </w:r>
      <w:r>
        <w:t xml:space="preserve">”</w:t>
      </w:r>
      <w:r>
        <w:t xml:space="preserve">。</w:t>
      </w:r>
    </w:p>
    <w:p>
      <w:pPr>
        <w:numPr>
          <w:ilvl w:val="0"/>
          <w:numId w:val="1014"/>
        </w:numPr>
        <w:pStyle w:val="Compact"/>
      </w:pPr>
      <w:r>
        <w:t xml:space="preserve">标识与记录的一致性：标签信息与随工单、检验记录、台账是否一致；有无</w:t>
      </w:r>
      <w:r>
        <w:t xml:space="preserve">“</w:t>
      </w:r>
      <w:r>
        <w:t xml:space="preserve">有账无物、有物无账</w:t>
      </w:r>
      <w:r>
        <w:t xml:space="preserve">”</w:t>
      </w:r>
      <w:r>
        <w:t xml:space="preserve">的情况。</w:t>
      </w:r>
    </w:p>
    <w:p>
      <w:pPr>
        <w:numPr>
          <w:ilvl w:val="0"/>
          <w:numId w:val="1014"/>
        </w:numPr>
        <w:pStyle w:val="Compact"/>
      </w:pPr>
      <w:r>
        <w:t xml:space="preserve">追溯记录的可读性与保存：记录是否清晰可辨、按期限保存、可快速检索；电子记录是否有备份。</w:t>
      </w:r>
    </w:p>
    <w:p>
      <w:pPr>
        <w:numPr>
          <w:ilvl w:val="0"/>
          <w:numId w:val="1014"/>
        </w:numPr>
        <w:pStyle w:val="Compact"/>
      </w:pPr>
      <w:r>
        <w:t xml:space="preserve">特殊过程的标识：热处理、电镀等特殊过程的批次标识是否完整，是否与工艺参数记录关联。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5"/>
        </w:numPr>
        <w:pStyle w:val="Compact"/>
      </w:pPr>
      <w:r>
        <w:t xml:space="preserve">把</w:t>
      </w:r>
      <w:r>
        <w:t xml:space="preserve">“</w:t>
      </w:r>
      <w:r>
        <w:t xml:space="preserve">标识</w:t>
      </w:r>
      <w:r>
        <w:t xml:space="preserve">”</w:t>
      </w:r>
      <w:r>
        <w:t xml:space="preserve">等同于</w:t>
      </w:r>
      <w:r>
        <w:t xml:space="preserve">“</w:t>
      </w:r>
      <w:r>
        <w:t xml:space="preserve">贴标签</w:t>
      </w:r>
      <w:r>
        <w:t xml:space="preserve">”</w:t>
      </w:r>
      <w:r>
        <w:t xml:space="preserve">：只做了产品标识，没有检验状态标识，或状态标识由操作工自行更改，导致不合格品被误放行。</w:t>
      </w:r>
    </w:p>
    <w:p>
      <w:pPr>
        <w:numPr>
          <w:ilvl w:val="0"/>
          <w:numId w:val="1015"/>
        </w:numPr>
        <w:pStyle w:val="Compact"/>
      </w:pPr>
      <w:r>
        <w:t xml:space="preserve">追溯链断裂：投料时没有登记原料批次，或随工单中途丢失，追溯演练时查不到源头。</w:t>
      </w:r>
    </w:p>
    <w:p>
      <w:pPr>
        <w:numPr>
          <w:ilvl w:val="0"/>
          <w:numId w:val="1015"/>
        </w:numPr>
        <w:pStyle w:val="Compact"/>
      </w:pPr>
      <w:r>
        <w:t xml:space="preserve">标识与实物分离：标识贴在容器上，容器换装其他产品后未更换标识，造成批次混淆。</w:t>
      </w:r>
    </w:p>
    <w:p>
      <w:pPr>
        <w:numPr>
          <w:ilvl w:val="0"/>
          <w:numId w:val="1015"/>
        </w:numPr>
        <w:pStyle w:val="Compact"/>
      </w:pPr>
      <w:r>
        <w:t xml:space="preserve">补标随意：标识丢失后凭记忆补标，没有经过品质部核查确认，可能掩盖真实质量问题。</w:t>
      </w:r>
    </w:p>
    <w:p>
      <w:pPr>
        <w:numPr>
          <w:ilvl w:val="0"/>
          <w:numId w:val="1015"/>
        </w:numPr>
        <w:pStyle w:val="Compact"/>
      </w:pPr>
      <w:r>
        <w:t xml:space="preserve">追溯记录事后补填：审核时</w:t>
      </w:r>
      <w:r>
        <w:t xml:space="preserve">“</w:t>
      </w:r>
      <w:r>
        <w:t xml:space="preserve">现填现补</w:t>
      </w:r>
      <w:r>
        <w:t xml:space="preserve">”</w:t>
      </w:r>
      <w:r>
        <w:t xml:space="preserve">，记录日期与生产日期矛盾，被开具不符合项。</w:t>
      </w:r>
    </w:p>
    <w:p>
      <w:pPr>
        <w:numPr>
          <w:ilvl w:val="0"/>
          <w:numId w:val="1015"/>
        </w:numPr>
        <w:pStyle w:val="Compact"/>
      </w:pPr>
      <w:r>
        <w:t xml:space="preserve">过度追溯：所有产品一律单件追溯，成本高、效率低，反而导致现场执行不下去；应依据产品风险与顾客要求合理确定追溯深度。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标识三件套：产品标识、状态标识、追溯链，一个都不能少。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2026-09-12T10:35:34Z</dcterms:created>
  <dcterms:modified xsi:type="dcterms:W3CDTF">2026-09-12T10:35:34Z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