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19顾客财产控制程序8.5.3"/>
      <w:r>
        <w:t xml:space="preserve">ISO9001体系文件套包（19）｜顾客财产控制程序（8.5.3）</w:t>
      </w:r>
      <w:bookmarkEnd w:id="20"/>
    </w:p>
    <w:p>
      <w:pPr>
        <w:pStyle w:val="BlockText"/>
      </w:pPr>
      <w:r>
        <w:rPr>
          <w:b/>
        </w:rPr>
        <w:t xml:space="preserve">文件说明</w:t>
      </w:r>
      <w:r>
        <w:t xml:space="preserve">：本文件是 ISO 9001:2015 标准 8.5.3 条款</w:t>
      </w:r>
      <w:r>
        <w:t xml:space="preserve">“</w:t>
      </w:r>
      <w:r>
        <w:t xml:space="preserve">顾客财产</w:t>
      </w:r>
      <w:r>
        <w:t xml:space="preserve">”</w:t>
      </w:r>
      <w:r>
        <w:t xml:space="preserve">的落地程序，属于二级文件（程序文件），与《生产过程控制程序》《标识和可追溯性控制程序》《不合格品控制程序》共同构成生产服务提供过程（8.5）的控制文件组。顾客财产指顾客为让组织完成产品实现而提供的材料、零部件、模具工装、包装物、技术图纸、知识产权资料乃至个人信息，常见于来料加工、OEM/ODM 代工、设备安装维护、检测服务等业务模式。本程序的价值在于：明确顾客财产的识别、验证、标识、防护、使用与异常报告全流程责任，避免因保管不善或使用不当造成顾客财产损失而引发索赔与信任危机。适用于所有接收、使用、保管顾客财产的企业，尤其是以客户来图来料加工为主的中小型制造企业。</w:t>
      </w:r>
    </w:p>
    <w:p>
      <w:pPr>
        <w:pStyle w:val="Heading2"/>
      </w:pPr>
      <w:bookmarkStart w:id="21" w:name="一目的"/>
      <w:r>
        <w:t xml:space="preserve">一、目的</w:t>
      </w:r>
      <w:bookmarkEnd w:id="21"/>
    </w:p>
    <w:p>
      <w:pPr>
        <w:pStyle w:val="FirstParagraph"/>
      </w:pPr>
      <w:r>
        <w:t xml:space="preserve">规范顾客财产的接收验证、标识、防护、使用与异常处理全过程，确保顾客财产在组织控制期间得到妥善保管和正确使用，防止丢失、损坏或误用；当顾客财产发生丢失、损坏或发现不适用情况时，能够及时记录并向顾客报告，维护顾客权益，满足 ISO 9001:2015 标准 8.5.3 条款要求。</w:t>
      </w:r>
    </w:p>
    <w:p>
      <w:pPr>
        <w:pStyle w:val="Heading2"/>
      </w:pPr>
      <w:bookmarkStart w:id="22" w:name="二适用范围"/>
      <w:r>
        <w:t xml:space="preserve">二、适用范围</w:t>
      </w:r>
      <w:bookmarkEnd w:id="22"/>
    </w:p>
    <w:p>
      <w:pPr>
        <w:pStyle w:val="FirstParagraph"/>
      </w:pPr>
      <w:r>
        <w:t xml:space="preserve">适用于本公司与顾客之间业务活动中，由顾客提供、归顾客所有、由本公司控制或使用的下列财产：</w:t>
      </w:r>
    </w:p>
    <w:p>
      <w:pPr>
        <w:numPr>
          <w:ilvl w:val="0"/>
          <w:numId w:val="1001"/>
        </w:numPr>
        <w:pStyle w:val="Compact"/>
      </w:pPr>
      <w:r>
        <w:t xml:space="preserve">顾客提供的原材料、辅料、半成品、零部件及包装材料；</w:t>
      </w:r>
    </w:p>
    <w:p>
      <w:pPr>
        <w:numPr>
          <w:ilvl w:val="0"/>
          <w:numId w:val="1001"/>
        </w:numPr>
        <w:pStyle w:val="Compact"/>
      </w:pPr>
      <w:r>
        <w:t xml:space="preserve">顾客提供的模具、夹具、工装、量具、检具及专用设备；</w:t>
      </w:r>
    </w:p>
    <w:p>
      <w:pPr>
        <w:numPr>
          <w:ilvl w:val="0"/>
          <w:numId w:val="1001"/>
        </w:numPr>
        <w:pStyle w:val="Compact"/>
      </w:pPr>
      <w:r>
        <w:t xml:space="preserve">顾客提供的技术图纸、工艺文件、配方、标准、软件及知识产权资料；</w:t>
      </w:r>
    </w:p>
    <w:p>
      <w:pPr>
        <w:numPr>
          <w:ilvl w:val="0"/>
          <w:numId w:val="1001"/>
        </w:numPr>
        <w:pStyle w:val="Compact"/>
      </w:pPr>
      <w:r>
        <w:t xml:space="preserve">顾客委托本公司保管、维修、安装、检测的顾客产品；</w:t>
      </w:r>
    </w:p>
    <w:p>
      <w:pPr>
        <w:numPr>
          <w:ilvl w:val="0"/>
          <w:numId w:val="1001"/>
        </w:numPr>
        <w:pStyle w:val="Compact"/>
      </w:pPr>
      <w:r>
        <w:t xml:space="preserve">顾客提供的个人信息及其他具有财产属性的物品或资料。</w:t>
      </w:r>
    </w:p>
    <w:p>
      <w:pPr>
        <w:pStyle w:val="FirstParagraph"/>
      </w:pPr>
      <w:r>
        <w:t xml:space="preserve">顾客财产不包括顾客订购但尚未交付的产品（该类产品按《生产过程控制程序》和《产品防护控制程序》管理）。</w:t>
      </w:r>
    </w:p>
    <w:p>
      <w:pPr>
        <w:pStyle w:val="Heading2"/>
      </w:pPr>
      <w:bookmarkStart w:id="23" w:name="三职责"/>
      <w:r>
        <w:t xml:space="preserve">三、职责</w:t>
      </w:r>
      <w:bookmarkEnd w:id="23"/>
    </w:p>
    <w:tbl>
      <w:tblPr>
        <w:tblStyle w:val="Table"/>
        <w:tblW w:type="pct" w:w="0.0"/>
        <w:tblLook w:firstRow="1"/>
      </w:tblPr>
      <w:tblGrid/>
      <w:tr>
        <w:trPr>
          <w:cnfStyle w:firstRow="1"/>
        </w:trPr>
        <w:tc>
          <w:tcPr>
            <w:tcBorders>
              <w:bottom w:val="single"/>
            </w:tcBorders>
            <w:vAlign w:val="bottom"/>
          </w:tcPr>
          <w:p>
            <w:pPr>
              <w:pStyle w:val="Compact"/>
              <w:jc w:val="left"/>
            </w:pPr>
            <w:r>
              <w:t xml:space="preserve">责任部门/岗位</w:t>
            </w:r>
          </w:p>
        </w:tc>
        <w:tc>
          <w:tcPr>
            <w:tcBorders>
              <w:bottom w:val="single"/>
            </w:tcBorders>
            <w:vAlign w:val="bottom"/>
          </w:tcPr>
          <w:p>
            <w:pPr>
              <w:pStyle w:val="Compact"/>
              <w:jc w:val="left"/>
            </w:pPr>
            <w:r>
              <w:t xml:space="preserve">职责内容</w:t>
            </w:r>
          </w:p>
        </w:tc>
      </w:tr>
      <w:tr>
        <w:tc>
          <w:p>
            <w:pPr>
              <w:pStyle w:val="Compact"/>
              <w:jc w:val="left"/>
            </w:pPr>
            <w:r>
              <w:t xml:space="preserve">销售部/市场部</w:t>
            </w:r>
          </w:p>
        </w:tc>
        <w:tc>
          <w:p>
            <w:pPr>
              <w:pStyle w:val="Compact"/>
              <w:jc w:val="left"/>
            </w:pPr>
            <w:r>
              <w:t xml:space="preserve">负责在合同或订单中识别顾客财产的种类、数量、提供方式及特殊要求，并通知相关部门；负责顾客财产异常的对外沟通与报告</w:t>
            </w:r>
          </w:p>
        </w:tc>
      </w:tr>
      <w:tr>
        <w:tc>
          <w:p>
            <w:pPr>
              <w:pStyle w:val="Compact"/>
              <w:jc w:val="left"/>
            </w:pPr>
            <w:r>
              <w:t xml:space="preserve">仓储部</w:t>
            </w:r>
          </w:p>
        </w:tc>
        <w:tc>
          <w:p>
            <w:pPr>
              <w:pStyle w:val="Compact"/>
              <w:jc w:val="left"/>
            </w:pPr>
            <w:r>
              <w:t xml:space="preserve">负责顾客财产的接收、验证、入库、标识、储存与防护，建立顾客财产台账</w:t>
            </w:r>
          </w:p>
        </w:tc>
      </w:tr>
      <w:tr>
        <w:tc>
          <w:p>
            <w:pPr>
              <w:pStyle w:val="Compact"/>
              <w:jc w:val="left"/>
            </w:pPr>
            <w:r>
              <w:t xml:space="preserve">品质部</w:t>
            </w:r>
          </w:p>
        </w:tc>
        <w:tc>
          <w:p>
            <w:pPr>
              <w:pStyle w:val="Compact"/>
              <w:jc w:val="left"/>
            </w:pPr>
            <w:r>
              <w:t xml:space="preserve">负责顾客财产的进货检验/验证、定期检查、异常判定，参与不合格顾客财产的评审</w:t>
            </w:r>
          </w:p>
        </w:tc>
      </w:tr>
      <w:tr>
        <w:tc>
          <w:p>
            <w:pPr>
              <w:pStyle w:val="Compact"/>
              <w:jc w:val="left"/>
            </w:pPr>
            <w:r>
              <w:t xml:space="preserve">生产部</w:t>
            </w:r>
          </w:p>
        </w:tc>
        <w:tc>
          <w:p>
            <w:pPr>
              <w:pStyle w:val="Compact"/>
              <w:jc w:val="left"/>
            </w:pPr>
            <w:r>
              <w:t xml:space="preserve">负责顾客财产（材料、模具、工装等）在生产现场的正确使用、保管与交接</w:t>
            </w:r>
          </w:p>
        </w:tc>
      </w:tr>
      <w:tr>
        <w:tc>
          <w:p>
            <w:pPr>
              <w:pStyle w:val="Compact"/>
              <w:jc w:val="left"/>
            </w:pPr>
            <w:r>
              <w:t xml:space="preserve">技术部</w:t>
            </w:r>
          </w:p>
        </w:tc>
        <w:tc>
          <w:p>
            <w:pPr>
              <w:pStyle w:val="Compact"/>
              <w:jc w:val="left"/>
            </w:pPr>
            <w:r>
              <w:t xml:space="preserve">负责顾客提供的图纸、技术资料的接收、登记、受控管理与保密</w:t>
            </w:r>
          </w:p>
        </w:tc>
      </w:tr>
      <w:tr>
        <w:tc>
          <w:p>
            <w:pPr>
              <w:pStyle w:val="Compact"/>
              <w:jc w:val="left"/>
            </w:pPr>
            <w:r>
              <w:t xml:space="preserve">管理者代表</w:t>
            </w:r>
          </w:p>
        </w:tc>
        <w:tc>
          <w:p>
            <w:pPr>
              <w:pStyle w:val="Compact"/>
              <w:jc w:val="left"/>
            </w:pPr>
            <w:r>
              <w:t xml:space="preserve">负责协调顾客财产管理中的重大问题，审批异常处理方案</w:t>
            </w:r>
          </w:p>
        </w:tc>
      </w:tr>
    </w:tbl>
    <w:p>
      <w:pPr>
        <w:pStyle w:val="Heading2"/>
      </w:pPr>
      <w:bookmarkStart w:id="24" w:name="四工作程序"/>
      <w:r>
        <w:t xml:space="preserve">四、工作程序</w:t>
      </w:r>
      <w:bookmarkEnd w:id="24"/>
    </w:p>
    <w:p>
      <w:pPr>
        <w:pStyle w:val="Heading3"/>
      </w:pPr>
      <w:bookmarkStart w:id="25" w:name="顾客财产的识别与合同约定"/>
      <w:r>
        <w:t xml:space="preserve">4.1 顾客财产的识别与合同约定</w:t>
      </w:r>
      <w:bookmarkEnd w:id="25"/>
    </w:p>
    <w:p>
      <w:pPr>
        <w:numPr>
          <w:ilvl w:val="0"/>
          <w:numId w:val="1002"/>
        </w:numPr>
        <w:pStyle w:val="Compact"/>
      </w:pPr>
      <w:r>
        <w:t xml:space="preserve">销售部在与顾客洽谈合同时，应识别业务过程中是否存在顾客财产，明确其种类、数量、产权归属、提供时间、存放地点及特殊保管要求。</w:t>
      </w:r>
    </w:p>
    <w:p>
      <w:pPr>
        <w:numPr>
          <w:ilvl w:val="0"/>
          <w:numId w:val="1002"/>
        </w:numPr>
        <w:pStyle w:val="Compact"/>
      </w:pPr>
      <w:r>
        <w:t xml:space="preserve">对价值较高或保管条件特殊的顾客财产（如精密模具、贵重原材料、保密技术资料），应在合同/订单中单独列明条款，约定双方责任及损失赔偿原则。</w:t>
      </w:r>
    </w:p>
    <w:p>
      <w:pPr>
        <w:numPr>
          <w:ilvl w:val="0"/>
          <w:numId w:val="1002"/>
        </w:numPr>
        <w:pStyle w:val="Compact"/>
      </w:pPr>
      <w:r>
        <w:t xml:space="preserve">销售部将顾客财产信息以《顾客财产清单》形式传递至仓储部、生产部、品质部等相关方。</w:t>
      </w:r>
    </w:p>
    <w:p>
      <w:pPr>
        <w:pStyle w:val="Heading3"/>
      </w:pPr>
      <w:bookmarkStart w:id="26" w:name="接收与验证"/>
      <w:r>
        <w:t xml:space="preserve">4.2 接收与验证</w:t>
      </w:r>
      <w:bookmarkEnd w:id="26"/>
    </w:p>
    <w:p>
      <w:pPr>
        <w:numPr>
          <w:ilvl w:val="0"/>
          <w:numId w:val="1003"/>
        </w:numPr>
        <w:pStyle w:val="Compact"/>
      </w:pPr>
      <w:r>
        <w:t xml:space="preserve">顾客财产到达后，仓储部仓管员与品质部检验员共同进行接收验证，核对以下内容：</w:t>
      </w:r>
    </w:p>
    <w:p>
      <w:pPr>
        <w:numPr>
          <w:ilvl w:val="1"/>
          <w:numId w:val="1004"/>
        </w:numPr>
        <w:pStyle w:val="Compact"/>
      </w:pPr>
      <w:r>
        <w:t xml:space="preserve">品种、规格、数量与《顾客财产清单》或送货单是否一致；</w:t>
      </w:r>
    </w:p>
    <w:p>
      <w:pPr>
        <w:numPr>
          <w:ilvl w:val="1"/>
          <w:numId w:val="1004"/>
        </w:numPr>
        <w:pStyle w:val="Compact"/>
      </w:pPr>
      <w:r>
        <w:t xml:space="preserve">外观是否完好，有无磕碰、变形、锈蚀、受潮、破损等异常；</w:t>
      </w:r>
    </w:p>
    <w:p>
      <w:pPr>
        <w:numPr>
          <w:ilvl w:val="1"/>
          <w:numId w:val="1004"/>
        </w:numPr>
        <w:pStyle w:val="Compact"/>
      </w:pPr>
      <w:r>
        <w:t xml:space="preserve">随附资料（图纸、合格证、检验报告、使用说明）是否齐全；</w:t>
      </w:r>
    </w:p>
    <w:p>
      <w:pPr>
        <w:numPr>
          <w:ilvl w:val="1"/>
          <w:numId w:val="1004"/>
        </w:numPr>
        <w:pStyle w:val="Compact"/>
      </w:pPr>
      <w:r>
        <w:t xml:space="preserve">包装是否完好，标识是否清晰可辨。</w:t>
      </w:r>
    </w:p>
    <w:p>
      <w:pPr>
        <w:numPr>
          <w:ilvl w:val="0"/>
          <w:numId w:val="1003"/>
        </w:numPr>
        <w:pStyle w:val="Compact"/>
      </w:pPr>
      <w:r>
        <w:t xml:space="preserve">验证合格后，仓管员填写《顾客财产接收记录》，办理入库手续，并及时通知销售部确认到货。</w:t>
      </w:r>
    </w:p>
    <w:p>
      <w:pPr>
        <w:numPr>
          <w:ilvl w:val="0"/>
          <w:numId w:val="1003"/>
        </w:numPr>
        <w:pStyle w:val="Compact"/>
      </w:pPr>
      <w:r>
        <w:t xml:space="preserve">验证发现数量短缺、外观损坏或资料不全时，仓管员应单独存放并挂</w:t>
      </w:r>
      <w:r>
        <w:t xml:space="preserve">“</w:t>
      </w:r>
      <w:r>
        <w:t xml:space="preserve">待处理</w:t>
      </w:r>
      <w:r>
        <w:t xml:space="preserve">”</w:t>
      </w:r>
      <w:r>
        <w:t xml:space="preserve">标识，品质部在 1 个工作日内出具验证结论，销售部在 2 个工作日内书面通知顾客，协商补货、换货或让步接收处理方案，处理结果记录在《顾客财产异常报告》中。</w:t>
      </w:r>
    </w:p>
    <w:p>
      <w:pPr>
        <w:pStyle w:val="Heading3"/>
      </w:pPr>
      <w:bookmarkStart w:id="27" w:name="标识与登记"/>
      <w:r>
        <w:t xml:space="preserve">4.3 标识与登记</w:t>
      </w:r>
      <w:bookmarkEnd w:id="27"/>
    </w:p>
    <w:p>
      <w:pPr>
        <w:numPr>
          <w:ilvl w:val="0"/>
          <w:numId w:val="1005"/>
        </w:numPr>
        <w:pStyle w:val="Compact"/>
      </w:pPr>
      <w:r>
        <w:t xml:space="preserve">所有顾客财产入库后应挂贴</w:t>
      </w:r>
      <w:r>
        <w:t xml:space="preserve">“</w:t>
      </w:r>
      <w:r>
        <w:t xml:space="preserve">顾客财产</w:t>
      </w:r>
      <w:r>
        <w:t xml:space="preserve">”</w:t>
      </w:r>
      <w:r>
        <w:t xml:space="preserve">标识牌，注明顾客名称、财产名称、规格、数量、入库日期及保管责任人。</w:t>
      </w:r>
    </w:p>
    <w:p>
      <w:pPr>
        <w:numPr>
          <w:ilvl w:val="0"/>
          <w:numId w:val="1005"/>
        </w:numPr>
        <w:pStyle w:val="Compact"/>
      </w:pPr>
      <w:r>
        <w:t xml:space="preserve">仓管员按</w:t>
      </w:r>
      <w:r>
        <w:t xml:space="preserve">“</w:t>
      </w:r>
      <w:r>
        <w:t xml:space="preserve">一客一册</w:t>
      </w:r>
      <w:r>
        <w:t xml:space="preserve">”</w:t>
      </w:r>
      <w:r>
        <w:t xml:space="preserve">原则建立《顾客财产台账》，逐项登记顾客名称、财产名称、规格型号、数量、入库日期、存放位置、领用/退回情况，做到账、物、卡一致。</w:t>
      </w:r>
    </w:p>
    <w:p>
      <w:pPr>
        <w:numPr>
          <w:ilvl w:val="0"/>
          <w:numId w:val="1005"/>
        </w:numPr>
        <w:pStyle w:val="Compact"/>
      </w:pPr>
      <w:r>
        <w:t xml:space="preserve">顾客提供的技术图纸、工艺文件等资料，由技术部按《文件控制程序》登记受控，加盖</w:t>
      </w:r>
      <w:r>
        <w:t xml:space="preserve">“</w:t>
      </w:r>
      <w:r>
        <w:t xml:space="preserve">顾客提供资料</w:t>
      </w:r>
      <w:r>
        <w:t xml:space="preserve">”</w:t>
      </w:r>
      <w:r>
        <w:t xml:space="preserve">章，单独归档保管，并标注密级。</w:t>
      </w:r>
    </w:p>
    <w:p>
      <w:pPr>
        <w:pStyle w:val="Heading3"/>
      </w:pPr>
      <w:bookmarkStart w:id="28" w:name="储存与防护"/>
      <w:r>
        <w:t xml:space="preserve">4.4 储存与防护</w:t>
      </w:r>
      <w:bookmarkEnd w:id="28"/>
    </w:p>
    <w:p>
      <w:pPr>
        <w:numPr>
          <w:ilvl w:val="0"/>
          <w:numId w:val="1006"/>
        </w:numPr>
        <w:pStyle w:val="Compact"/>
      </w:pPr>
      <w:r>
        <w:t xml:space="preserve">顾客财产应存放在指定区域（可与自有物料分区，用隔离线或标识区分），按财产特性确定储存条件：</w:t>
      </w:r>
    </w:p>
    <w:p>
      <w:pPr>
        <w:numPr>
          <w:ilvl w:val="1"/>
          <w:numId w:val="1007"/>
        </w:numPr>
        <w:pStyle w:val="Compact"/>
      </w:pPr>
      <w:r>
        <w:t xml:space="preserve">怕潮、怕晒物料存放于干燥通风区，做好防潮、防晒措施；</w:t>
      </w:r>
    </w:p>
    <w:p>
      <w:pPr>
        <w:numPr>
          <w:ilvl w:val="1"/>
          <w:numId w:val="1007"/>
        </w:numPr>
        <w:pStyle w:val="Compact"/>
      </w:pPr>
      <w:r>
        <w:t xml:space="preserve">精密模具、量具存放于专用货架，采取防锈、防磕碰措施；</w:t>
      </w:r>
    </w:p>
    <w:p>
      <w:pPr>
        <w:numPr>
          <w:ilvl w:val="1"/>
          <w:numId w:val="1007"/>
        </w:numPr>
        <w:pStyle w:val="Compact"/>
      </w:pPr>
      <w:r>
        <w:t xml:space="preserve">危险化学品按安全规定专区存放；</w:t>
      </w:r>
    </w:p>
    <w:p>
      <w:pPr>
        <w:numPr>
          <w:ilvl w:val="1"/>
          <w:numId w:val="1007"/>
        </w:numPr>
        <w:pStyle w:val="Compact"/>
      </w:pPr>
      <w:r>
        <w:t xml:space="preserve">电子类产品做好防静电、防尘措施。</w:t>
      </w:r>
    </w:p>
    <w:p>
      <w:pPr>
        <w:numPr>
          <w:ilvl w:val="0"/>
          <w:numId w:val="1006"/>
        </w:numPr>
        <w:pStyle w:val="Compact"/>
      </w:pPr>
      <w:r>
        <w:t xml:space="preserve">仓储部每月对顾客财产进行一次定期检查，检查储存环境、外观状态、数量是否与台账一致，检查结果记入《顾客财产定期检查记录》。</w:t>
      </w:r>
    </w:p>
    <w:p>
      <w:pPr>
        <w:numPr>
          <w:ilvl w:val="0"/>
          <w:numId w:val="1006"/>
        </w:numPr>
        <w:pStyle w:val="Compact"/>
      </w:pPr>
      <w:r>
        <w:t xml:space="preserve">顾客财产未经顾客书面同意，不得挪作他用、转借、复制或改作其他产品使用。</w:t>
      </w:r>
    </w:p>
    <w:p>
      <w:pPr>
        <w:pStyle w:val="Heading3"/>
      </w:pPr>
      <w:bookmarkStart w:id="29" w:name="领用与使用"/>
      <w:r>
        <w:t xml:space="preserve">4.5 领用与使用</w:t>
      </w:r>
      <w:bookmarkEnd w:id="29"/>
    </w:p>
    <w:p>
      <w:pPr>
        <w:numPr>
          <w:ilvl w:val="0"/>
          <w:numId w:val="1008"/>
        </w:numPr>
        <w:pStyle w:val="Compact"/>
      </w:pPr>
      <w:r>
        <w:t xml:space="preserve">生产部凭《生产任务单》到仓储部领用顾客财产，领用时双方核对品名、规格、数量并签字确认，仓管员及时更新台账。</w:t>
      </w:r>
    </w:p>
    <w:p>
      <w:pPr>
        <w:numPr>
          <w:ilvl w:val="0"/>
          <w:numId w:val="1008"/>
        </w:numPr>
        <w:pStyle w:val="Compact"/>
      </w:pPr>
      <w:r>
        <w:t xml:space="preserve">生产现场使用顾客财产时，操作工应按作业指导书要求正确使用和轻拿轻放，发现异常立即停止使用并报告班组长和品质部。</w:t>
      </w:r>
    </w:p>
    <w:p>
      <w:pPr>
        <w:numPr>
          <w:ilvl w:val="0"/>
          <w:numId w:val="1008"/>
        </w:numPr>
        <w:pStyle w:val="Compact"/>
      </w:pPr>
      <w:r>
        <w:t xml:space="preserve">模具、工装等顾客财产使用完毕，由生产部清理、保养后办理退回入库手续，仓储部验收确认。</w:t>
      </w:r>
    </w:p>
    <w:p>
      <w:pPr>
        <w:numPr>
          <w:ilvl w:val="0"/>
          <w:numId w:val="1008"/>
        </w:numPr>
        <w:pStyle w:val="Compact"/>
      </w:pPr>
      <w:r>
        <w:t xml:space="preserve">顾客提供的技术资料仅供本项目使用，使用完毕后由技术部收回归档，未经顾客书面许可不得复制、外传。</w:t>
      </w:r>
    </w:p>
    <w:p>
      <w:pPr>
        <w:pStyle w:val="Heading3"/>
      </w:pPr>
      <w:bookmarkStart w:id="30" w:name="异常处理与报告"/>
      <w:r>
        <w:t xml:space="preserve">4.6 异常处理与报告</w:t>
      </w:r>
      <w:bookmarkEnd w:id="30"/>
    </w:p>
    <w:p>
      <w:pPr>
        <w:numPr>
          <w:ilvl w:val="0"/>
          <w:numId w:val="1009"/>
        </w:numPr>
        <w:pStyle w:val="Compact"/>
      </w:pPr>
      <w:r>
        <w:t xml:space="preserve">顾客财产在组织控制期间发生丢失、损坏、变质、性能下降或发现不适用（如规格与生产要求不符）时，发现部门应立即报告品质部。</w:t>
      </w:r>
    </w:p>
    <w:p>
      <w:pPr>
        <w:numPr>
          <w:ilvl w:val="0"/>
          <w:numId w:val="1009"/>
        </w:numPr>
        <w:pStyle w:val="Compact"/>
      </w:pPr>
      <w:r>
        <w:t xml:space="preserve">品质部组织相关部门进行原因分析，评估影响范围，填写《顾客财产异常报告》，内容包括：异常情况描述、发生时间地点、原因初步分析、影响评估、处理建议。</w:t>
      </w:r>
    </w:p>
    <w:p>
      <w:pPr>
        <w:numPr>
          <w:ilvl w:val="0"/>
          <w:numId w:val="1009"/>
        </w:numPr>
        <w:pStyle w:val="Compact"/>
      </w:pPr>
      <w:r>
        <w:t xml:space="preserve">销售部在 2 个工作日内将《顾客财产异常报告》书面通报顾客，与顾客协商处置方案（修复、赔偿、补料、调整计划等），处置结果由双方签字确认。</w:t>
      </w:r>
    </w:p>
    <w:p>
      <w:pPr>
        <w:numPr>
          <w:ilvl w:val="0"/>
          <w:numId w:val="1009"/>
        </w:numPr>
        <w:pStyle w:val="Compact"/>
      </w:pPr>
      <w:r>
        <w:t xml:space="preserve">因顾客财产异常影响交付进度时，销售部应及时与顾客沟通修订交付计划，并按《与顾客有关的过程控制程序》办理合同变更手续。</w:t>
      </w:r>
    </w:p>
    <w:p>
      <w:pPr>
        <w:numPr>
          <w:ilvl w:val="0"/>
          <w:numId w:val="1009"/>
        </w:numPr>
        <w:pStyle w:val="Compact"/>
      </w:pPr>
      <w:r>
        <w:t xml:space="preserve">所有异常报告及处置记录由品质部归档保存，作为管理评审和持续改进的输入。</w:t>
      </w:r>
    </w:p>
    <w:p>
      <w:pPr>
        <w:pStyle w:val="Heading3"/>
      </w:pPr>
      <w:bookmarkStart w:id="31" w:name="顾客财产的退回与清账"/>
      <w:r>
        <w:t xml:space="preserve">4.7 顾客财产的退回与清账</w:t>
      </w:r>
      <w:bookmarkEnd w:id="31"/>
    </w:p>
    <w:p>
      <w:pPr>
        <w:numPr>
          <w:ilvl w:val="0"/>
          <w:numId w:val="1010"/>
        </w:numPr>
        <w:pStyle w:val="Compact"/>
      </w:pPr>
      <w:r>
        <w:t xml:space="preserve">顾客财产使用完毕或合同结束，销售部按顾客要求办理退回或就地处理手续：</w:t>
      </w:r>
    </w:p>
    <w:p>
      <w:pPr>
        <w:numPr>
          <w:ilvl w:val="1"/>
          <w:numId w:val="1011"/>
        </w:numPr>
        <w:pStyle w:val="Compact"/>
      </w:pPr>
      <w:r>
        <w:t xml:space="preserve">退回的财产由仓储部清点、包装、办理出库手续，随附《顾客财产退回清单》；</w:t>
      </w:r>
    </w:p>
    <w:p>
      <w:pPr>
        <w:numPr>
          <w:ilvl w:val="1"/>
          <w:numId w:val="1011"/>
        </w:numPr>
        <w:pStyle w:val="Compact"/>
      </w:pPr>
      <w:r>
        <w:t xml:space="preserve">顾客同意就地处理的，凭顾客书面确认意见办理报废或转移手续。</w:t>
      </w:r>
    </w:p>
    <w:p>
      <w:pPr>
        <w:numPr>
          <w:ilvl w:val="0"/>
          <w:numId w:val="1010"/>
        </w:numPr>
        <w:pStyle w:val="Compact"/>
      </w:pPr>
      <w:r>
        <w:t xml:space="preserve">项目结束后，品质部组织对顾客财产账目进行清账，确认无遗漏、无未了事项后关闭记录。</w:t>
      </w:r>
    </w:p>
    <w:p>
      <w:pPr>
        <w:pStyle w:val="Heading3"/>
      </w:pPr>
      <w:bookmarkStart w:id="32" w:name="流程图文字版"/>
      <w:r>
        <w:t xml:space="preserve">4.8 流程图（文字版）</w:t>
      </w:r>
      <w:bookmarkEnd w:id="32"/>
    </w:p>
    <w:p>
      <w:pPr>
        <w:pStyle w:val="SourceCode"/>
      </w:pPr>
      <w:r>
        <w:rPr>
          <w:rStyle w:val="VerbatimChar"/>
        </w:rPr>
        <w:t xml:space="preserve">顾客财产提供（合同约定）</w:t>
      </w:r>
      <w:r>
        <w:br/>
      </w:r>
      <w:r>
        <w:rPr>
          <w:rStyle w:val="VerbatimChar"/>
        </w:rPr>
        <w:t xml:space="preserve">        ↓</w:t>
      </w:r>
      <w:r>
        <w:br/>
      </w:r>
      <w:r>
        <w:rPr>
          <w:rStyle w:val="VerbatimChar"/>
        </w:rPr>
        <w:t xml:space="preserve">接收验证（仓储部+品质部）──异常──→ 单独存放挂"待处理"标识</w:t>
      </w:r>
      <w:r>
        <w:br/>
      </w:r>
      <w:r>
        <w:rPr>
          <w:rStyle w:val="VerbatimChar"/>
        </w:rPr>
        <w:t xml:space="preserve">        ↓ 合格                          ↓</w:t>
      </w:r>
      <w:r>
        <w:br/>
      </w:r>
      <w:r>
        <w:rPr>
          <w:rStyle w:val="VerbatimChar"/>
        </w:rPr>
        <w:t xml:space="preserve">入库标识登记（顾客财产台账）     通知顾客协商处理（销售部，2个工作日）</w:t>
      </w:r>
      <w:r>
        <w:br/>
      </w:r>
      <w:r>
        <w:rPr>
          <w:rStyle w:val="VerbatimChar"/>
        </w:rPr>
        <w:t xml:space="preserve">        ↓                                ↓</w:t>
      </w:r>
      <w:r>
        <w:br/>
      </w:r>
      <w:r>
        <w:rPr>
          <w:rStyle w:val="VerbatimChar"/>
        </w:rPr>
        <w:t xml:space="preserve">储存防护（定期检查，每月）       填写《顾客财产异常报告》</w:t>
      </w:r>
      <w:r>
        <w:br/>
      </w:r>
      <w:r>
        <w:rPr>
          <w:rStyle w:val="VerbatimChar"/>
        </w:rPr>
        <w:t xml:space="preserve">        ↓</w:t>
      </w:r>
      <w:r>
        <w:br/>
      </w:r>
      <w:r>
        <w:rPr>
          <w:rStyle w:val="VerbatimChar"/>
        </w:rPr>
        <w:t xml:space="preserve">生产领用与使用（正确操作）</w:t>
      </w:r>
      <w:r>
        <w:br/>
      </w:r>
      <w:r>
        <w:rPr>
          <w:rStyle w:val="VerbatimChar"/>
        </w:rPr>
        <w:t xml:space="preserve">        ↓</w:t>
      </w:r>
      <w:r>
        <w:br/>
      </w:r>
      <w:r>
        <w:rPr>
          <w:rStyle w:val="VerbatimChar"/>
        </w:rPr>
        <w:t xml:space="preserve">使用完毕退回/定期检查</w:t>
      </w:r>
      <w:r>
        <w:br/>
      </w:r>
      <w:r>
        <w:rPr>
          <w:rStyle w:val="VerbatimChar"/>
        </w:rPr>
        <w:t xml:space="preserve">        ↓</w:t>
      </w:r>
      <w:r>
        <w:br/>
      </w:r>
      <w:r>
        <w:rPr>
          <w:rStyle w:val="VerbatimChar"/>
        </w:rPr>
        <w:t xml:space="preserve">异常？──是──→ 异常报告与顾客沟通（4.6）</w:t>
      </w:r>
      <w:r>
        <w:br/>
      </w:r>
      <w:r>
        <w:rPr>
          <w:rStyle w:val="VerbatimChar"/>
        </w:rPr>
        <w:t xml:space="preserve">        ↓ 否</w:t>
      </w:r>
      <w:r>
        <w:br/>
      </w:r>
      <w:r>
        <w:rPr>
          <w:rStyle w:val="VerbatimChar"/>
        </w:rPr>
        <w:t xml:space="preserve">合同结束清账/退回/就地处理</w:t>
      </w:r>
      <w:r>
        <w:br/>
      </w:r>
      <w:r>
        <w:rPr>
          <w:rStyle w:val="VerbatimChar"/>
        </w:rPr>
        <w:t xml:space="preserve">        ↓</w:t>
      </w:r>
      <w:r>
        <w:br/>
      </w:r>
      <w:r>
        <w:rPr>
          <w:rStyle w:val="VerbatimChar"/>
        </w:rPr>
        <w:t xml:space="preserve">记录归档（品质部）</w:t>
      </w:r>
    </w:p>
    <w:p>
      <w:pPr>
        <w:pStyle w:val="Heading2"/>
      </w:pPr>
      <w:bookmarkStart w:id="33" w:name="五相关记录"/>
      <w:r>
        <w:t xml:space="preserve">五、相关记录</w:t>
      </w:r>
      <w:bookmarkEnd w:id="33"/>
    </w:p>
    <w:tbl>
      <w:tblPr>
        <w:tblStyle w:val="Table"/>
        <w:tblW w:type="pct" w:w="0.0"/>
        <w:tblLook w:firstRow="1"/>
      </w:tblPr>
      <w:tblGrid/>
      <w:tr>
        <w:trPr>
          <w:cnfStyle w:firstRow="1"/>
        </w:trPr>
        <w:tc>
          <w:tcPr>
            <w:tcBorders>
              <w:bottom w:val="single"/>
            </w:tcBorders>
            <w:vAlign w:val="bottom"/>
          </w:tcPr>
          <w:p>
            <w:pPr>
              <w:pStyle w:val="Compact"/>
              <w:jc w:val="left"/>
            </w:pPr>
            <w:r>
              <w:t xml:space="preserve">记录名称</w:t>
            </w:r>
          </w:p>
        </w:tc>
        <w:tc>
          <w:tcPr>
            <w:tcBorders>
              <w:bottom w:val="single"/>
            </w:tcBorders>
            <w:vAlign w:val="bottom"/>
          </w:tcPr>
          <w:p>
            <w:pPr>
              <w:pStyle w:val="Compact"/>
              <w:jc w:val="left"/>
            </w:pPr>
            <w:r>
              <w:t xml:space="preserve">填写部门</w:t>
            </w:r>
          </w:p>
        </w:tc>
        <w:tc>
          <w:tcPr>
            <w:tcBorders>
              <w:bottom w:val="single"/>
            </w:tcBorders>
            <w:vAlign w:val="bottom"/>
          </w:tcPr>
          <w:p>
            <w:pPr>
              <w:pStyle w:val="Compact"/>
              <w:jc w:val="left"/>
            </w:pPr>
            <w:r>
              <w:t xml:space="preserve">保存期限</w:t>
            </w:r>
          </w:p>
        </w:tc>
        <w:tc>
          <w:tcPr>
            <w:tcBorders>
              <w:bottom w:val="single"/>
            </w:tcBorders>
            <w:vAlign w:val="bottom"/>
          </w:tcPr>
          <w:p>
            <w:pPr>
              <w:pStyle w:val="Compact"/>
              <w:jc w:val="left"/>
            </w:pPr>
            <w:r>
              <w:t xml:space="preserve">保存部门</w:t>
            </w:r>
          </w:p>
        </w:tc>
      </w:tr>
      <w:tr>
        <w:tc>
          <w:p>
            <w:pPr>
              <w:pStyle w:val="Compact"/>
              <w:jc w:val="left"/>
            </w:pPr>
            <w:r>
              <w:t xml:space="preserve">顾客财产清单</w:t>
            </w:r>
          </w:p>
        </w:tc>
        <w:tc>
          <w:p>
            <w:pPr>
              <w:pStyle w:val="Compact"/>
              <w:jc w:val="left"/>
            </w:pPr>
            <w:r>
              <w:t xml:space="preserve">销售部</w:t>
            </w:r>
          </w:p>
        </w:tc>
        <w:tc>
          <w:p>
            <w:pPr>
              <w:pStyle w:val="Compact"/>
              <w:jc w:val="left"/>
            </w:pPr>
            <w:r>
              <w:t xml:space="preserve">合同结束后 3 年</w:t>
            </w:r>
          </w:p>
        </w:tc>
        <w:tc>
          <w:p>
            <w:pPr>
              <w:pStyle w:val="Compact"/>
              <w:jc w:val="left"/>
            </w:pPr>
            <w:r>
              <w:t xml:space="preserve">销售部</w:t>
            </w:r>
          </w:p>
        </w:tc>
      </w:tr>
      <w:tr>
        <w:tc>
          <w:p>
            <w:pPr>
              <w:pStyle w:val="Compact"/>
              <w:jc w:val="left"/>
            </w:pPr>
            <w:r>
              <w:t xml:space="preserve">顾客财产接收记录</w:t>
            </w:r>
          </w:p>
        </w:tc>
        <w:tc>
          <w:p>
            <w:pPr>
              <w:pStyle w:val="Compact"/>
              <w:jc w:val="left"/>
            </w:pPr>
            <w:r>
              <w:t xml:space="preserve">仓储部</w:t>
            </w:r>
          </w:p>
        </w:tc>
        <w:tc>
          <w:p>
            <w:pPr>
              <w:pStyle w:val="Compact"/>
              <w:jc w:val="left"/>
            </w:pPr>
            <w:r>
              <w:t xml:space="preserve">3 年</w:t>
            </w:r>
          </w:p>
        </w:tc>
        <w:tc>
          <w:p>
            <w:pPr>
              <w:pStyle w:val="Compact"/>
              <w:jc w:val="left"/>
            </w:pPr>
            <w:r>
              <w:t xml:space="preserve">仓储部</w:t>
            </w:r>
          </w:p>
        </w:tc>
      </w:tr>
      <w:tr>
        <w:tc>
          <w:p>
            <w:pPr>
              <w:pStyle w:val="Compact"/>
              <w:jc w:val="left"/>
            </w:pPr>
            <w:r>
              <w:t xml:space="preserve">顾客财产台账</w:t>
            </w:r>
          </w:p>
        </w:tc>
        <w:tc>
          <w:p>
            <w:pPr>
              <w:pStyle w:val="Compact"/>
              <w:jc w:val="left"/>
            </w:pPr>
            <w:r>
              <w:t xml:space="preserve">仓储部</w:t>
            </w:r>
          </w:p>
        </w:tc>
        <w:tc>
          <w:p>
            <w:pPr>
              <w:pStyle w:val="Compact"/>
              <w:jc w:val="left"/>
            </w:pPr>
            <w:r>
              <w:t xml:space="preserve">3 年</w:t>
            </w:r>
          </w:p>
        </w:tc>
        <w:tc>
          <w:p>
            <w:pPr>
              <w:pStyle w:val="Compact"/>
              <w:jc w:val="left"/>
            </w:pPr>
            <w:r>
              <w:t xml:space="preserve">仓储部</w:t>
            </w:r>
          </w:p>
        </w:tc>
      </w:tr>
      <w:tr>
        <w:tc>
          <w:p>
            <w:pPr>
              <w:pStyle w:val="Compact"/>
              <w:jc w:val="left"/>
            </w:pPr>
            <w:r>
              <w:t xml:space="preserve">顾客财产定期检查记录</w:t>
            </w:r>
          </w:p>
        </w:tc>
        <w:tc>
          <w:p>
            <w:pPr>
              <w:pStyle w:val="Compact"/>
              <w:jc w:val="left"/>
            </w:pPr>
            <w:r>
              <w:t xml:space="preserve">仓储部</w:t>
            </w:r>
          </w:p>
        </w:tc>
        <w:tc>
          <w:p>
            <w:pPr>
              <w:pStyle w:val="Compact"/>
              <w:jc w:val="left"/>
            </w:pPr>
            <w:r>
              <w:t xml:space="preserve">3 年</w:t>
            </w:r>
          </w:p>
        </w:tc>
        <w:tc>
          <w:p>
            <w:pPr>
              <w:pStyle w:val="Compact"/>
              <w:jc w:val="left"/>
            </w:pPr>
            <w:r>
              <w:t xml:space="preserve">仓储部</w:t>
            </w:r>
          </w:p>
        </w:tc>
      </w:tr>
      <w:tr>
        <w:tc>
          <w:p>
            <w:pPr>
              <w:pStyle w:val="Compact"/>
              <w:jc w:val="left"/>
            </w:pPr>
            <w:r>
              <w:t xml:space="preserve">顾客财产异常报告</w:t>
            </w:r>
          </w:p>
        </w:tc>
        <w:tc>
          <w:p>
            <w:pPr>
              <w:pStyle w:val="Compact"/>
              <w:jc w:val="left"/>
            </w:pPr>
            <w:r>
              <w:t xml:space="preserve">品质部</w:t>
            </w:r>
          </w:p>
        </w:tc>
        <w:tc>
          <w:p>
            <w:pPr>
              <w:pStyle w:val="Compact"/>
              <w:jc w:val="left"/>
            </w:pPr>
            <w:r>
              <w:t xml:space="preserve">5 年</w:t>
            </w:r>
          </w:p>
        </w:tc>
        <w:tc>
          <w:p>
            <w:pPr>
              <w:pStyle w:val="Compact"/>
              <w:jc w:val="left"/>
            </w:pPr>
            <w:r>
              <w:t xml:space="preserve">品质部</w:t>
            </w:r>
          </w:p>
        </w:tc>
      </w:tr>
      <w:tr>
        <w:tc>
          <w:p>
            <w:pPr>
              <w:pStyle w:val="Compact"/>
              <w:jc w:val="left"/>
            </w:pPr>
            <w:r>
              <w:t xml:space="preserve">顾客财产退回清单</w:t>
            </w:r>
          </w:p>
        </w:tc>
        <w:tc>
          <w:p>
            <w:pPr>
              <w:pStyle w:val="Compact"/>
              <w:jc w:val="left"/>
            </w:pPr>
            <w:r>
              <w:t xml:space="preserve">仓储部</w:t>
            </w:r>
          </w:p>
        </w:tc>
        <w:tc>
          <w:p>
            <w:pPr>
              <w:pStyle w:val="Compact"/>
              <w:jc w:val="left"/>
            </w:pPr>
            <w:r>
              <w:t xml:space="preserve">3 年</w:t>
            </w:r>
          </w:p>
        </w:tc>
        <w:tc>
          <w:p>
            <w:pPr>
              <w:pStyle w:val="Compact"/>
              <w:jc w:val="left"/>
            </w:pPr>
            <w:r>
              <w:t xml:space="preserve">仓储部</w:t>
            </w:r>
          </w:p>
        </w:tc>
      </w:tr>
    </w:tbl>
    <w:p>
      <w:pPr>
        <w:pStyle w:val="Heading2"/>
      </w:pPr>
      <w:bookmarkStart w:id="34" w:name="六相关文件"/>
      <w:r>
        <w:t xml:space="preserve">六、相关文件</w:t>
      </w:r>
      <w:bookmarkEnd w:id="34"/>
    </w:p>
    <w:p>
      <w:pPr>
        <w:numPr>
          <w:ilvl w:val="0"/>
          <w:numId w:val="1012"/>
        </w:numPr>
        <w:pStyle w:val="Compact"/>
      </w:pPr>
      <w:r>
        <w:t xml:space="preserve">《文件控制程序》</w:t>
      </w:r>
    </w:p>
    <w:p>
      <w:pPr>
        <w:numPr>
          <w:ilvl w:val="0"/>
          <w:numId w:val="1012"/>
        </w:numPr>
        <w:pStyle w:val="Compact"/>
      </w:pPr>
      <w:r>
        <w:t xml:space="preserve">《记录控制程序》</w:t>
      </w:r>
    </w:p>
    <w:p>
      <w:pPr>
        <w:numPr>
          <w:ilvl w:val="0"/>
          <w:numId w:val="1012"/>
        </w:numPr>
        <w:pStyle w:val="Compact"/>
      </w:pPr>
      <w:r>
        <w:t xml:space="preserve">《生产过程控制程序》</w:t>
      </w:r>
    </w:p>
    <w:p>
      <w:pPr>
        <w:numPr>
          <w:ilvl w:val="0"/>
          <w:numId w:val="1012"/>
        </w:numPr>
        <w:pStyle w:val="Compact"/>
      </w:pPr>
      <w:r>
        <w:t xml:space="preserve">《标识和可追溯性控制程序》</w:t>
      </w:r>
    </w:p>
    <w:p>
      <w:pPr>
        <w:numPr>
          <w:ilvl w:val="0"/>
          <w:numId w:val="1012"/>
        </w:numPr>
        <w:pStyle w:val="Compact"/>
      </w:pPr>
      <w:r>
        <w:t xml:space="preserve">《产品防护控制程序》</w:t>
      </w:r>
    </w:p>
    <w:p>
      <w:pPr>
        <w:numPr>
          <w:ilvl w:val="0"/>
          <w:numId w:val="1012"/>
        </w:numPr>
        <w:pStyle w:val="Compact"/>
      </w:pPr>
      <w:r>
        <w:t xml:space="preserve">《不合格品控制程序》</w:t>
      </w:r>
    </w:p>
    <w:p>
      <w:pPr>
        <w:numPr>
          <w:ilvl w:val="0"/>
          <w:numId w:val="1012"/>
        </w:numPr>
        <w:pStyle w:val="Compact"/>
      </w:pPr>
      <w:r>
        <w:t xml:space="preserve">《与顾客有关的过程控制程序》</w:t>
      </w:r>
    </w:p>
    <w:p>
      <w:pPr>
        <w:pStyle w:val="Heading2"/>
      </w:pPr>
      <w:bookmarkStart w:id="35" w:name="使用说明"/>
      <w:r>
        <w:t xml:space="preserve">使用说明</w:t>
      </w:r>
      <w:bookmarkEnd w:id="35"/>
    </w:p>
    <w:p>
      <w:pPr>
        <w:pStyle w:val="FirstParagraph"/>
      </w:pPr>
      <w:r>
        <w:rPr>
          <w:b/>
        </w:rPr>
        <w:t xml:space="preserve">一、如何按企业实际修改</w:t>
      </w:r>
    </w:p>
    <w:p>
      <w:pPr>
        <w:numPr>
          <w:ilvl w:val="0"/>
          <w:numId w:val="1013"/>
        </w:numPr>
        <w:pStyle w:val="Compact"/>
      </w:pPr>
      <w:r>
        <w:rPr>
          <w:b/>
        </w:rPr>
        <w:t xml:space="preserve">业务模式适配</w:t>
      </w:r>
      <w:r>
        <w:t xml:space="preserve">：纯来料加工企业应把 4.2 验证和 4.5 领用写得更加细致，明确每批来料必须全数核对；以技术服务为主的企业（检测、维修、安装）应重点强化顾客设备/样品的接收登记、状态标识与归还确认环节，可增加</w:t>
      </w:r>
      <w:r>
        <w:t xml:space="preserve">“</w:t>
      </w:r>
      <w:r>
        <w:t xml:space="preserve">顾客设备维修交接单</w:t>
      </w:r>
      <w:r>
        <w:t xml:space="preserve">”</w:t>
      </w:r>
      <w:r>
        <w:t xml:space="preserve">。</w:t>
      </w:r>
    </w:p>
    <w:p>
      <w:pPr>
        <w:numPr>
          <w:ilvl w:val="0"/>
          <w:numId w:val="1013"/>
        </w:numPr>
        <w:pStyle w:val="Compact"/>
      </w:pPr>
      <w:r>
        <w:rPr>
          <w:b/>
        </w:rPr>
        <w:t xml:space="preserve">组织架构适配</w:t>
      </w:r>
      <w:r>
        <w:t xml:space="preserve">：无独立仓储部的小型企业，可将仓储职责并入生产部，在 4.4 中明确指定专人负责；销售部与客服部合一的企业，将对外报告职责统一归口到客服岗位即可，不必增设部门。</w:t>
      </w:r>
    </w:p>
    <w:p>
      <w:pPr>
        <w:numPr>
          <w:ilvl w:val="0"/>
          <w:numId w:val="1013"/>
        </w:numPr>
        <w:pStyle w:val="Compact"/>
      </w:pPr>
      <w:r>
        <w:rPr>
          <w:b/>
        </w:rPr>
        <w:t xml:space="preserve">特殊财产增补</w:t>
      </w:r>
      <w:r>
        <w:t xml:space="preserve">：涉及顾客知识产权（配方、软件、图纸）的企业，建议在 4.3 中补充保密条款，明确涉密资料的分级、借阅审批和销毁要求；涉及顾客个人信息的，应增加信息保护要求，与《个人信息保护法》要求衔接。</w:t>
      </w:r>
    </w:p>
    <w:p>
      <w:pPr>
        <w:numPr>
          <w:ilvl w:val="0"/>
          <w:numId w:val="1013"/>
        </w:numPr>
        <w:pStyle w:val="Compact"/>
      </w:pPr>
      <w:r>
        <w:rPr>
          <w:b/>
        </w:rPr>
        <w:t xml:space="preserve">台账形式</w:t>
      </w:r>
      <w:r>
        <w:t xml:space="preserve">：小企业可用 Excel 建立《顾客财产台账》，大企业可并入 ERP 系统；无论何种形式，账、物、卡一致和定期盘点的要求不变。</w:t>
      </w:r>
    </w:p>
    <w:p>
      <w:pPr>
        <w:pStyle w:val="FirstParagraph"/>
      </w:pPr>
      <w:r>
        <w:rPr>
          <w:b/>
        </w:rPr>
        <w:t xml:space="preserve">二、审核关注点（认证审核时高频检查项）</w:t>
      </w:r>
    </w:p>
    <w:p>
      <w:pPr>
        <w:numPr>
          <w:ilvl w:val="0"/>
          <w:numId w:val="1014"/>
        </w:numPr>
        <w:pStyle w:val="Compact"/>
      </w:pPr>
      <w:r>
        <w:t xml:space="preserve">审核员会现场抽查 1～2 项顾客财产，核对台账、实物、标识是否一致，检查</w:t>
      </w:r>
      <w:r>
        <w:t xml:space="preserve">“</w:t>
      </w:r>
      <w:r>
        <w:t xml:space="preserve">顾客财产</w:t>
      </w:r>
      <w:r>
        <w:t xml:space="preserve">”</w:t>
      </w:r>
      <w:r>
        <w:t xml:space="preserve">标识是否清晰、存放区域是否隔离。</w:t>
      </w:r>
    </w:p>
    <w:p>
      <w:pPr>
        <w:numPr>
          <w:ilvl w:val="0"/>
          <w:numId w:val="1014"/>
        </w:numPr>
        <w:pStyle w:val="Compact"/>
      </w:pPr>
      <w:r>
        <w:t xml:space="preserve">会追溯一份《顾客财产异常报告》，验证是否在规定时限内通知了顾客、是否有顾客书面回复、处置是否闭环。</w:t>
      </w:r>
    </w:p>
    <w:p>
      <w:pPr>
        <w:numPr>
          <w:ilvl w:val="0"/>
          <w:numId w:val="1014"/>
        </w:numPr>
        <w:pStyle w:val="Compact"/>
      </w:pPr>
      <w:r>
        <w:t xml:space="preserve">会检查顾客提供图纸/资料的受控状态：是否有登记、是否盖受控章、版本是否受控、有无未经许可的复制。</w:t>
      </w:r>
    </w:p>
    <w:p>
      <w:pPr>
        <w:numPr>
          <w:ilvl w:val="0"/>
          <w:numId w:val="1014"/>
        </w:numPr>
        <w:pStyle w:val="Compact"/>
      </w:pPr>
      <w:r>
        <w:t xml:space="preserve">会确认程序是否覆盖标准 8.5.3 的全部要求：</w:t>
      </w:r>
      <w:r>
        <w:t xml:space="preserve">“</w:t>
      </w:r>
      <w:r>
        <w:t xml:space="preserve">识别、验证、保护和防护</w:t>
      </w:r>
      <w:r>
        <w:t xml:space="preserve">”</w:t>
      </w:r>
      <w:r>
        <w:t xml:space="preserve">以及</w:t>
      </w:r>
      <w:r>
        <w:t xml:space="preserve">“</w:t>
      </w:r>
      <w:r>
        <w:t xml:space="preserve">丢失、损坏或发现不适用时向顾客报告</w:t>
      </w:r>
      <w:r>
        <w:t xml:space="preserve">”</w:t>
      </w:r>
      <w:r>
        <w:t xml:space="preserve">。</w:t>
      </w:r>
    </w:p>
    <w:p>
      <w:pPr>
        <w:pStyle w:val="FirstParagraph"/>
      </w:pPr>
      <w:r>
        <w:rPr>
          <w:b/>
        </w:rPr>
        <w:t xml:space="preserve">三、常见错误</w:t>
      </w:r>
    </w:p>
    <w:p>
      <w:pPr>
        <w:numPr>
          <w:ilvl w:val="0"/>
          <w:numId w:val="1015"/>
        </w:numPr>
        <w:pStyle w:val="Compact"/>
      </w:pPr>
      <w:r>
        <w:rPr>
          <w:b/>
        </w:rPr>
        <w:t xml:space="preserve">未识别顾客财产</w:t>
      </w:r>
      <w:r>
        <w:t xml:space="preserve">：把顾客提供的材料、模具当普通物料管理，无台账、无标识，审核时无法证明受控。</w:t>
      </w:r>
    </w:p>
    <w:p>
      <w:pPr>
        <w:numPr>
          <w:ilvl w:val="0"/>
          <w:numId w:val="1015"/>
        </w:numPr>
        <w:pStyle w:val="Compact"/>
      </w:pPr>
      <w:r>
        <w:rPr>
          <w:b/>
        </w:rPr>
        <w:t xml:space="preserve">异常不报告</w:t>
      </w:r>
      <w:r>
        <w:t xml:space="preserve">：发现顾客财产损坏后仅内部处理、不通知顾客，或口头通知不留记录——这是 8.5.3 最常见的开不符合项情形。</w:t>
      </w:r>
    </w:p>
    <w:p>
      <w:pPr>
        <w:numPr>
          <w:ilvl w:val="0"/>
          <w:numId w:val="1015"/>
        </w:numPr>
        <w:pStyle w:val="Compact"/>
      </w:pPr>
      <w:r>
        <w:rPr>
          <w:b/>
        </w:rPr>
        <w:t xml:space="preserve">台账与实物脱节</w:t>
      </w:r>
      <w:r>
        <w:t xml:space="preserve">：领用、退回不及时登记，盘点对不上账，被审核员判为</w:t>
      </w:r>
      <w:r>
        <w:t xml:space="preserve">“</w:t>
      </w:r>
      <w:r>
        <w:t xml:space="preserve">记录失控</w:t>
      </w:r>
      <w:r>
        <w:t xml:space="preserve">”</w:t>
      </w:r>
      <w:r>
        <w:t xml:space="preserve">。</w:t>
      </w:r>
    </w:p>
    <w:p>
      <w:pPr>
        <w:numPr>
          <w:ilvl w:val="0"/>
          <w:numId w:val="1015"/>
        </w:numPr>
        <w:pStyle w:val="Compact"/>
      </w:pPr>
      <w:r>
        <w:rPr>
          <w:b/>
        </w:rPr>
        <w:t xml:space="preserve">范围用词不当</w:t>
      </w:r>
      <w:r>
        <w:t xml:space="preserve">：误将</w:t>
      </w:r>
      <w:r>
        <w:t xml:space="preserve">“</w:t>
      </w:r>
      <w:r>
        <w:t xml:space="preserve">顾客订购的产品</w:t>
      </w:r>
      <w:r>
        <w:t xml:space="preserve">”</w:t>
      </w:r>
      <w:r>
        <w:t xml:space="preserve">当作顾客财产管理，或遗漏</w:t>
      </w:r>
      <w:r>
        <w:t xml:space="preserve">“</w:t>
      </w:r>
      <w:r>
        <w:t xml:space="preserve">顾客个人信息</w:t>
      </w:r>
      <w:r>
        <w:t xml:space="preserve">”</w:t>
      </w:r>
      <w:r>
        <w:t xml:space="preserve">这一新形态财产。</w:t>
      </w:r>
    </w:p>
    <w:p>
      <w:pPr>
        <w:numPr>
          <w:ilvl w:val="0"/>
          <w:numId w:val="1015"/>
        </w:numPr>
        <w:pStyle w:val="Compact"/>
      </w:pPr>
      <w:r>
        <w:rPr>
          <w:b/>
        </w:rPr>
        <w:t xml:space="preserve">处置无闭环</w:t>
      </w:r>
      <w:r>
        <w:t xml:space="preserve">：异常报告发出后无跟踪、无顾客确认、无最终处置记录，形成</w:t>
      </w:r>
      <w:r>
        <w:t xml:space="preserve">“</w:t>
      </w:r>
      <w:r>
        <w:t xml:space="preserve">报告发了就完了</w:t>
      </w:r>
      <w:r>
        <w:t xml:space="preserve">”</w:t>
      </w:r>
      <w:r>
        <w:t xml:space="preserve">的断头路。</w:t>
      </w:r>
    </w:p>
    <w:p>
      <w:r>
        <w:pict>
          <v:rect style="width:0;height:1.5pt" o:hralign="center" o:hrstd="t" o:hr="t"/>
        </w:pict>
      </w:r>
    </w:p>
    <w:p>
      <w:pPr>
        <w:pStyle w:val="BlockText"/>
      </w:pPr>
      <w:r>
        <w:t xml:space="preserve">顾客财产全程受控，异常及时报告顾客</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2026-09-12T10:35:34Z</dcterms:created>
  <dcterms:modified xsi:type="dcterms:W3CDTF">2026-09-12T10:35:34Z</dcterms:modified>
</cp:coreProperties>
</file>

<file path=docProps/custom.xml><?xml version="1.0" encoding="utf-8"?>
<Properties xmlns="http://schemas.openxmlformats.org/officeDocument/2006/custom-properties" xmlns:vt="http://schemas.openxmlformats.org/officeDocument/2006/docPropsVTypes"/>
</file>