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20产品防护控制程序8.5.4"/>
      <w:r>
        <w:t xml:space="preserve">ISO9001体系文件套包（20）｜产品防护控制程序（8.5.4）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 ISO 9001:2015 标准 8.5.4 条款</w:t>
      </w:r>
      <w:r>
        <w:t xml:space="preserve">“</w:t>
      </w:r>
      <w:r>
        <w:t xml:space="preserve">产品防护</w:t>
      </w:r>
      <w:r>
        <w:t xml:space="preserve">”</w:t>
      </w:r>
      <w:r>
        <w:t xml:space="preserve">的落地程序，属于二级文件（程序文件），与《生产过程控制程序》《标识和可追溯性控制程序》《产品放行控制程序》《不合格品控制程序》共同构成生产和服务提供过程（8.5）的控制文件组。产品防护指组织在内部处理和交付到预定目的地期间，对产品（含原材料、半成品、成品及其组成部分）进行标识、搬运、包装、储存和保护，以防止产品变质、损坏、误用或丧失性能。本程序的价值在于：把</w:t>
      </w:r>
      <w:r>
        <w:t xml:space="preserve">“</w:t>
      </w:r>
      <w:r>
        <w:t xml:space="preserve">防护</w:t>
      </w:r>
      <w:r>
        <w:t xml:space="preserve">”</w:t>
      </w:r>
      <w:r>
        <w:t xml:space="preserve">从一句口号变成可执行、可检查、可追溯的日常动作，减少因搬运磕碰、储存受潮、包装不当、交付受损造成的报废与客户投诉。适用于所有有实物产品流转的企业，尤其是电子、机械、食品、化工、建材等对储存环境或搬运方式敏感的中小型制造企业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产品在内部流转及交付过程中的标识、搬运、包装、储存与保护活动，明确各环节的防护要求和责任人，防止产品在生产和交付全过程中发生变质、损坏、丢失、混淆或误用，确保交付给顾客的产品符合规定要求，满足 ISO 9001:2015 标准 8.5.4 条款及适用的法律法规要求。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所有产品（包括原材料、外购件、在制品、半成品、成品及随产品交付的附件、备件、包装物）从进厂验收入库、生产流转、成品入库、储存保管到交付顾客指定地点全过程的产品防护控制，具体包括：</w:t>
      </w:r>
    </w:p>
    <w:p>
      <w:pPr>
        <w:numPr>
          <w:ilvl w:val="0"/>
          <w:numId w:val="1001"/>
        </w:numPr>
        <w:pStyle w:val="Compact"/>
      </w:pPr>
      <w:r>
        <w:t xml:space="preserve">原材料、外购外协件入库后的储存与防护；</w:t>
      </w:r>
    </w:p>
    <w:p>
      <w:pPr>
        <w:numPr>
          <w:ilvl w:val="0"/>
          <w:numId w:val="1001"/>
        </w:numPr>
        <w:pStyle w:val="Compact"/>
      </w:pPr>
      <w:r>
        <w:t xml:space="preserve">生产过程中在制品、半成品的流转、暂存与搬运防护；</w:t>
      </w:r>
    </w:p>
    <w:p>
      <w:pPr>
        <w:numPr>
          <w:ilvl w:val="0"/>
          <w:numId w:val="1001"/>
        </w:numPr>
        <w:pStyle w:val="Compact"/>
      </w:pPr>
      <w:r>
        <w:t xml:space="preserve">成品入库、储存、包装与发运防护；</w:t>
      </w:r>
    </w:p>
    <w:p>
      <w:pPr>
        <w:numPr>
          <w:ilvl w:val="0"/>
          <w:numId w:val="1001"/>
        </w:numPr>
        <w:pStyle w:val="Compact"/>
      </w:pPr>
      <w:r>
        <w:t xml:space="preserve">交付运输途中及交付现场的防护（含随附技术文件、合格证明的防护）；</w:t>
      </w:r>
    </w:p>
    <w:p>
      <w:pPr>
        <w:numPr>
          <w:ilvl w:val="0"/>
          <w:numId w:val="1001"/>
        </w:numPr>
        <w:pStyle w:val="Compact"/>
      </w:pPr>
      <w:r>
        <w:t xml:space="preserve">顾客要求或合同约定的特殊防护（如防静电、恒温恒湿、危险品、易碎品、保质期管理等）。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  <w:tc>
          <w:p>
            <w:pPr>
              <w:pStyle w:val="Compact"/>
              <w:jc w:val="left"/>
            </w:pPr>
            <w:r>
              <w:t xml:space="preserve">负责原材料、半成品、成品的入库验收、分区存放、环境控制、定期检查与账物卡管理；负责搬运、装卸作业的组织与监督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负责生产现场在制品、半成品的定置摆放、工序间流转防护及现场暂存管理；负责包装作业的实施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负责储存环境与防护效果的监督检查、防护异常判定，组织防护异常的原因分析与处置验证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负责制定包装技术规范、储存条件要求及特殊防护要求，提供防护作业指导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销售部/物流部</w:t>
            </w:r>
          </w:p>
        </w:tc>
        <w:tc>
          <w:p>
            <w:pPr>
              <w:pStyle w:val="Compact"/>
              <w:jc w:val="left"/>
            </w:pPr>
            <w:r>
              <w:t xml:space="preserve">负责成品发运的组织、运输方式选择、交付过程防护的跟踪与顾客签收确认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负责向供方传递储存、搬运、包装的特殊防护要求，监督供方到货防护质量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负责协调重大防护问题的处理，审批防护方案变更</w:t>
            </w:r>
          </w:p>
        </w:tc>
      </w:tr>
    </w:tbl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防护要求的识别与策划"/>
      <w:r>
        <w:t xml:space="preserve">4.1 防护要求的识别与策划</w:t>
      </w:r>
      <w:bookmarkEnd w:id="25"/>
    </w:p>
    <w:p>
      <w:pPr>
        <w:numPr>
          <w:ilvl w:val="0"/>
          <w:numId w:val="1002"/>
        </w:numPr>
        <w:pStyle w:val="Compact"/>
      </w:pPr>
      <w:r>
        <w:t xml:space="preserve">技术部在产品设计和开发阶段，依据产品特性识别各环节的防护要求，包括：</w:t>
      </w:r>
    </w:p>
    <w:p>
      <w:pPr>
        <w:numPr>
          <w:ilvl w:val="1"/>
          <w:numId w:val="1003"/>
        </w:numPr>
        <w:pStyle w:val="Compact"/>
      </w:pPr>
      <w:r>
        <w:t xml:space="preserve">搬运要求：搬运方式、工具、限高、限重、防震、防倾倒要求；</w:t>
      </w:r>
    </w:p>
    <w:p>
      <w:pPr>
        <w:numPr>
          <w:ilvl w:val="1"/>
          <w:numId w:val="1003"/>
        </w:numPr>
        <w:pStyle w:val="Compact"/>
      </w:pPr>
      <w:r>
        <w:t xml:space="preserve">包装要求：包装材料、包装方式、标识要求、防潮防锈防静电要求；</w:t>
      </w:r>
    </w:p>
    <w:p>
      <w:pPr>
        <w:numPr>
          <w:ilvl w:val="1"/>
          <w:numId w:val="1003"/>
        </w:numPr>
        <w:pStyle w:val="Compact"/>
      </w:pPr>
      <w:r>
        <w:t xml:space="preserve">储存要求：温度、湿度、通风、光照、堆码层数、保质期限、隔离要求；</w:t>
      </w:r>
    </w:p>
    <w:p>
      <w:pPr>
        <w:numPr>
          <w:ilvl w:val="1"/>
          <w:numId w:val="1003"/>
        </w:numPr>
        <w:pStyle w:val="Compact"/>
      </w:pPr>
      <w:r>
        <w:t xml:space="preserve">保护要求：防腐蚀、防变质、防污染、防损坏及特殊保护措施。</w:t>
      </w:r>
    </w:p>
    <w:p>
      <w:pPr>
        <w:numPr>
          <w:ilvl w:val="0"/>
          <w:numId w:val="1002"/>
        </w:numPr>
        <w:pStyle w:val="Compact"/>
      </w:pPr>
      <w:r>
        <w:t xml:space="preserve">技术部将识别结果纳入《产品防护要求一览表》，随工艺文件一并发放至仓储部、生产部、品质部、销售部等相关部门。</w:t>
      </w:r>
    </w:p>
    <w:p>
      <w:pPr>
        <w:numPr>
          <w:ilvl w:val="0"/>
          <w:numId w:val="1002"/>
        </w:numPr>
        <w:pStyle w:val="Compact"/>
      </w:pPr>
      <w:r>
        <w:t xml:space="preserve">合同或顾客有特殊防护要求时，销售部应在合同评审中明确，并传递至相关部门执行。</w:t>
      </w:r>
    </w:p>
    <w:p>
      <w:pPr>
        <w:pStyle w:val="Heading3"/>
      </w:pPr>
      <w:bookmarkStart w:id="26" w:name="标识防护"/>
      <w:r>
        <w:t xml:space="preserve">4.2 标识防护</w:t>
      </w:r>
      <w:bookmarkEnd w:id="26"/>
    </w:p>
    <w:p>
      <w:pPr>
        <w:numPr>
          <w:ilvl w:val="0"/>
          <w:numId w:val="1004"/>
        </w:numPr>
        <w:pStyle w:val="Compact"/>
      </w:pPr>
      <w:r>
        <w:t xml:space="preserve">产品在储存和流转过程中应保持清晰、完整的标识，包括产品名称、规格型号、数量、批次/生产日期、状态（待检/合格/不合格/待处理）、储存要求等信息，标识方式按《标识和可追溯性控制程序》执行。</w:t>
      </w:r>
    </w:p>
    <w:p>
      <w:pPr>
        <w:numPr>
          <w:ilvl w:val="0"/>
          <w:numId w:val="1004"/>
        </w:numPr>
        <w:pStyle w:val="Compact"/>
      </w:pPr>
      <w:r>
        <w:t xml:space="preserve">有保质期或储存期限要求的产品，应在标识中注明生产日期和有效期限，并执行先进先出。</w:t>
      </w:r>
    </w:p>
    <w:p>
      <w:pPr>
        <w:numPr>
          <w:ilvl w:val="0"/>
          <w:numId w:val="1004"/>
        </w:numPr>
        <w:pStyle w:val="Compact"/>
      </w:pPr>
      <w:r>
        <w:t xml:space="preserve">对防护条件敏感的产品（如易碎品、怕潮品、防静电产品、危险化学品），应在包装和存放区域设置醒目的防护警示标识（如</w:t>
      </w:r>
      <w:r>
        <w:t xml:space="preserve">“</w:t>
      </w:r>
      <w:r>
        <w:t xml:space="preserve">易碎</w:t>
      </w:r>
      <w:r>
        <w:t xml:space="preserve">”</w:t>
      </w:r>
      <w:r>
        <w:t xml:space="preserve">“</w:t>
      </w:r>
      <w:r>
        <w:t xml:space="preserve">防潮</w:t>
      </w:r>
      <w:r>
        <w:t xml:space="preserve">”</w:t>
      </w:r>
      <w:r>
        <w:t xml:space="preserve">“</w:t>
      </w:r>
      <w:r>
        <w:t xml:space="preserve">向上</w:t>
      </w:r>
      <w:r>
        <w:t xml:space="preserve">”</w:t>
      </w:r>
      <w:r>
        <w:t xml:space="preserve">“</w:t>
      </w:r>
      <w:r>
        <w:t xml:space="preserve">防静电</w:t>
      </w:r>
      <w:r>
        <w:t xml:space="preserve">”</w:t>
      </w:r>
      <w:r>
        <w:t xml:space="preserve">等）。</w:t>
      </w:r>
    </w:p>
    <w:p>
      <w:pPr>
        <w:numPr>
          <w:ilvl w:val="0"/>
          <w:numId w:val="1004"/>
        </w:numPr>
        <w:pStyle w:val="Compact"/>
      </w:pPr>
      <w:r>
        <w:t xml:space="preserve">标识应牢固、清晰、不易脱落和褪色，标识损坏或模糊时，保管人员应及时更换并核对确认。</w:t>
      </w:r>
    </w:p>
    <w:p>
      <w:pPr>
        <w:pStyle w:val="Heading3"/>
      </w:pPr>
      <w:bookmarkStart w:id="27" w:name="搬运防护"/>
      <w:r>
        <w:t xml:space="preserve">4.3 搬运防护</w:t>
      </w:r>
      <w:bookmarkEnd w:id="27"/>
    </w:p>
    <w:p>
      <w:pPr>
        <w:numPr>
          <w:ilvl w:val="0"/>
          <w:numId w:val="1005"/>
        </w:numPr>
        <w:pStyle w:val="Compact"/>
      </w:pPr>
      <w:r>
        <w:t xml:space="preserve">搬运作业应使用适宜的搬运工具（叉车、液压车、托盘、周转箱、吊具等），搬运工具应定期检查维护，保持完好状态。</w:t>
      </w:r>
    </w:p>
    <w:p>
      <w:pPr>
        <w:numPr>
          <w:ilvl w:val="0"/>
          <w:numId w:val="1005"/>
        </w:numPr>
        <w:pStyle w:val="Compact"/>
      </w:pPr>
      <w:r>
        <w:t xml:space="preserve">搬运人员应接受岗位培训，掌握正确的搬运方法：轻拿轻放、平稳起吊、不超高、不超载、不混装，严禁抛、掷、拖、拉等野蛮作业。</w:t>
      </w:r>
    </w:p>
    <w:p>
      <w:pPr>
        <w:numPr>
          <w:ilvl w:val="0"/>
          <w:numId w:val="1005"/>
        </w:numPr>
        <w:pStyle w:val="Compact"/>
      </w:pPr>
      <w:r>
        <w:t xml:space="preserve">精密、贵重、易碎产品应使用专用周转器具，必要时采取防震、防静电、防磕碰措施，并由经过培训的专人搬运。</w:t>
      </w:r>
    </w:p>
    <w:p>
      <w:pPr>
        <w:numPr>
          <w:ilvl w:val="0"/>
          <w:numId w:val="1005"/>
        </w:numPr>
        <w:pStyle w:val="Compact"/>
      </w:pPr>
      <w:r>
        <w:t xml:space="preserve">工序间流转的产品应放入规定容器或区域，摆放整齐，防止挤压、碰撞；搬运过程中发现产品异常，应立即停止搬运并报告品质部。</w:t>
      </w:r>
    </w:p>
    <w:p>
      <w:pPr>
        <w:numPr>
          <w:ilvl w:val="0"/>
          <w:numId w:val="1005"/>
        </w:numPr>
        <w:pStyle w:val="Compact"/>
      </w:pPr>
      <w:r>
        <w:t xml:space="preserve">搬运作业应做好记录，大型或贵重产品搬运时，仓储部应填写《搬运作业记录》。</w:t>
      </w:r>
    </w:p>
    <w:p>
      <w:pPr>
        <w:pStyle w:val="Heading3"/>
      </w:pPr>
      <w:bookmarkStart w:id="28" w:name="包装防护"/>
      <w:r>
        <w:t xml:space="preserve">4.4 包装防护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技术部制定《包装作业指导书》，明确包装材料、包装方法、装箱数量、衬垫方式、防护材料（干燥剂、缓冲材料、防锈油等）及外包装标识要求。</w:t>
      </w:r>
    </w:p>
    <w:p>
      <w:pPr>
        <w:numPr>
          <w:ilvl w:val="0"/>
          <w:numId w:val="1006"/>
        </w:numPr>
        <w:pStyle w:val="Compact"/>
      </w:pPr>
      <w:r>
        <w:t xml:space="preserve">生产部/包装组按包装规范实施包装作业，做到：</w:t>
      </w:r>
    </w:p>
    <w:p>
      <w:pPr>
        <w:numPr>
          <w:ilvl w:val="1"/>
          <w:numId w:val="1007"/>
        </w:numPr>
        <w:pStyle w:val="Compact"/>
      </w:pPr>
      <w:r>
        <w:t xml:space="preserve">包装材料清洁、干燥、完好，与被包装产品相适应；</w:t>
      </w:r>
    </w:p>
    <w:p>
      <w:pPr>
        <w:numPr>
          <w:ilvl w:val="1"/>
          <w:numId w:val="1007"/>
        </w:numPr>
        <w:pStyle w:val="Compact"/>
      </w:pPr>
      <w:r>
        <w:t xml:space="preserve">产品在包装内固定可靠，防止运输中窜动、碰撞；</w:t>
      </w:r>
    </w:p>
    <w:p>
      <w:pPr>
        <w:numPr>
          <w:ilvl w:val="1"/>
          <w:numId w:val="1007"/>
        </w:numPr>
        <w:pStyle w:val="Compact"/>
      </w:pPr>
      <w:r>
        <w:t xml:space="preserve">随附文件（合格证、说明书、装箱单）齐全并放置正确；</w:t>
      </w:r>
    </w:p>
    <w:p>
      <w:pPr>
        <w:numPr>
          <w:ilvl w:val="1"/>
          <w:numId w:val="1007"/>
        </w:numPr>
        <w:pStyle w:val="Compact"/>
      </w:pPr>
      <w:r>
        <w:t xml:space="preserve">外包装标识清晰完整，包括品名、规格、数量、储运图示标志。</w:t>
      </w:r>
    </w:p>
    <w:p>
      <w:pPr>
        <w:numPr>
          <w:ilvl w:val="0"/>
          <w:numId w:val="1006"/>
        </w:numPr>
        <w:pStyle w:val="Compact"/>
      </w:pPr>
      <w:r>
        <w:t xml:space="preserve">品质部按检验规范对包装质量进行抽检，检查包装完整性、标识正确性、衬垫可靠性，检验合格后方可入库或发运。</w:t>
      </w:r>
    </w:p>
    <w:p>
      <w:pPr>
        <w:numPr>
          <w:ilvl w:val="0"/>
          <w:numId w:val="1006"/>
        </w:numPr>
        <w:pStyle w:val="Compact"/>
      </w:pPr>
      <w:r>
        <w:t xml:space="preserve">顾客有特殊包装要求时，按顾客要求执行并做好记录。</w:t>
      </w:r>
    </w:p>
    <w:p>
      <w:pPr>
        <w:pStyle w:val="Heading3"/>
      </w:pPr>
      <w:bookmarkStart w:id="29" w:name="储存防护"/>
      <w:r>
        <w:t xml:space="preserve">4.5 储存防护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仓储部按产品特性划分储存区域：原材料区、半成品区、成品区、待检区、不合格品隔离区、退货区，各区域标识清晰，通道畅通。</w:t>
      </w:r>
    </w:p>
    <w:p>
      <w:pPr>
        <w:numPr>
          <w:ilvl w:val="0"/>
          <w:numId w:val="1008"/>
        </w:numPr>
        <w:pStyle w:val="Compact"/>
      </w:pPr>
      <w:r>
        <w:t xml:space="preserve">储存环境控制：</w:t>
      </w:r>
    </w:p>
    <w:p>
      <w:pPr>
        <w:numPr>
          <w:ilvl w:val="1"/>
          <w:numId w:val="1009"/>
        </w:numPr>
        <w:pStyle w:val="Compact"/>
      </w:pPr>
      <w:r>
        <w:t xml:space="preserve">有温湿度要求的产品，仓库应配置温湿度计，仓储部每日上、下午各记录一次《库房温湿度记录》，发现超标及时采取除湿、通风、降温等措施；</w:t>
      </w:r>
    </w:p>
    <w:p>
      <w:pPr>
        <w:numPr>
          <w:ilvl w:val="1"/>
          <w:numId w:val="1009"/>
        </w:numPr>
        <w:pStyle w:val="Compact"/>
      </w:pPr>
      <w:r>
        <w:t xml:space="preserve">怕潮产品离墙离地存放（一般距墙不少于 30cm、距地不少于 10cm），做好防潮、防霉处理；</w:t>
      </w:r>
    </w:p>
    <w:p>
      <w:pPr>
        <w:numPr>
          <w:ilvl w:val="1"/>
          <w:numId w:val="1009"/>
        </w:numPr>
        <w:pStyle w:val="Compact"/>
      </w:pPr>
      <w:r>
        <w:t xml:space="preserve">危险化学品、易燃易爆品设专库存放，双人双锁管理；</w:t>
      </w:r>
    </w:p>
    <w:p>
      <w:pPr>
        <w:numPr>
          <w:ilvl w:val="1"/>
          <w:numId w:val="1009"/>
        </w:numPr>
        <w:pStyle w:val="Compact"/>
      </w:pPr>
      <w:r>
        <w:t xml:space="preserve">防静电产品存放于防静电区域，使用防静电包装。</w:t>
      </w:r>
    </w:p>
    <w:p>
      <w:pPr>
        <w:numPr>
          <w:ilvl w:val="0"/>
          <w:numId w:val="1008"/>
        </w:numPr>
        <w:pStyle w:val="Compact"/>
      </w:pPr>
      <w:r>
        <w:t xml:space="preserve">堆码管理：按包装箱标注的堆码层数要求堆码，不超高、不超重，重不压轻、大不压小，防止倒塌和挤压变形。</w:t>
      </w:r>
    </w:p>
    <w:p>
      <w:pPr>
        <w:numPr>
          <w:ilvl w:val="0"/>
          <w:numId w:val="1008"/>
        </w:numPr>
        <w:pStyle w:val="Compact"/>
      </w:pPr>
      <w:r>
        <w:t xml:space="preserve">账物卡管理：所有库存产品建立台账或标识卡，做到账、物、卡一致；出入库及时登记，定期盘点（每月小盘、每季度大盘），盘点差异按《不合格品控制程序》处理。</w:t>
      </w:r>
    </w:p>
    <w:p>
      <w:pPr>
        <w:numPr>
          <w:ilvl w:val="0"/>
          <w:numId w:val="1008"/>
        </w:numPr>
        <w:pStyle w:val="Compact"/>
      </w:pPr>
      <w:r>
        <w:t xml:space="preserve">先进先出：仓储部按生产日期/批号执行先进先出，发放时核对批次，防止超期储存。</w:t>
      </w:r>
    </w:p>
    <w:p>
      <w:pPr>
        <w:numPr>
          <w:ilvl w:val="0"/>
          <w:numId w:val="1008"/>
        </w:numPr>
        <w:pStyle w:val="Compact"/>
      </w:pPr>
      <w:r>
        <w:t xml:space="preserve">定期检查：仓储部每周对库存产品进行一次防护巡检，检查储存环境、包装完好性、产品外观状态、保质期情况，填写《产品防护巡检记录》；发现异常立即报告品质部。</w:t>
      </w:r>
    </w:p>
    <w:p>
      <w:pPr>
        <w:pStyle w:val="Heading3"/>
      </w:pPr>
      <w:bookmarkStart w:id="30" w:name="交付过程中的防护"/>
      <w:r>
        <w:t xml:space="preserve">4.6 交付过程中的防护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销售部/物流部根据产品特性和顾客要求选择适宜的运输方式与运输工具，对运输条件有特殊要求的产品（恒温、防震、防倾斜等）应在运输委托中明确告知承运方。</w:t>
      </w:r>
    </w:p>
    <w:p>
      <w:pPr>
        <w:numPr>
          <w:ilvl w:val="0"/>
          <w:numId w:val="1010"/>
        </w:numPr>
        <w:pStyle w:val="Compact"/>
      </w:pPr>
      <w:r>
        <w:t xml:space="preserve">装车作业由仓储部负责监督，做到轻装轻卸、固定牢靠、合理码放，防止运输途中颠簸碰撞；装车完毕核对数量、品种，办理《成品出库单》/《发货单》。</w:t>
      </w:r>
    </w:p>
    <w:p>
      <w:pPr>
        <w:numPr>
          <w:ilvl w:val="0"/>
          <w:numId w:val="1010"/>
        </w:numPr>
        <w:pStyle w:val="Compact"/>
      </w:pPr>
      <w:r>
        <w:t xml:space="preserve">随产品交付的技术文件、合格证明、质保书等应妥善包装，防止受潮、丢失。</w:t>
      </w:r>
    </w:p>
    <w:p>
      <w:pPr>
        <w:numPr>
          <w:ilvl w:val="0"/>
          <w:numId w:val="1010"/>
        </w:numPr>
        <w:pStyle w:val="Compact"/>
      </w:pPr>
      <w:r>
        <w:t xml:space="preserve">产品送达顾客指定地点后，销售部跟进顾客签收，顾客验收时发现数量短缺、外观损坏等问题，按《不合格品控制程序》和《与顾客有关的过程控制程序》处理。</w:t>
      </w:r>
    </w:p>
    <w:p>
      <w:pPr>
        <w:numPr>
          <w:ilvl w:val="0"/>
          <w:numId w:val="1010"/>
        </w:numPr>
        <w:pStyle w:val="Compact"/>
      </w:pPr>
      <w:r>
        <w:t xml:space="preserve">由本公司负责运输的，应保留运输交接记录；委托第三方运输的，应在合同中明确防护责任，并保留运输单据。</w:t>
      </w:r>
    </w:p>
    <w:p>
      <w:pPr>
        <w:pStyle w:val="Heading3"/>
      </w:pPr>
      <w:bookmarkStart w:id="31" w:name="防护异常的处置"/>
      <w:r>
        <w:t xml:space="preserve">4.7 防护异常的处置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任何部门发现产品在搬运、包装、储存、交付过程中发生变质、损坏、污染、超期、标识丢失等情况时，应立即隔离并报告品质部。</w:t>
      </w:r>
    </w:p>
    <w:p>
      <w:pPr>
        <w:numPr>
          <w:ilvl w:val="0"/>
          <w:numId w:val="1011"/>
        </w:numPr>
        <w:pStyle w:val="Compact"/>
      </w:pPr>
      <w:r>
        <w:t xml:space="preserve">品质部组织相关部门进行原因分析，评估异常对产品质量的影响，填写《产品防护异常报告》，提出处置意见（返工、返修、降级、报废、让步接收等），按《不合格品控制程序》执行。</w:t>
      </w:r>
    </w:p>
    <w:p>
      <w:pPr>
        <w:numPr>
          <w:ilvl w:val="0"/>
          <w:numId w:val="1011"/>
        </w:numPr>
        <w:pStyle w:val="Compact"/>
      </w:pPr>
      <w:r>
        <w:t xml:space="preserve">对因防护不当造成批量性损失或影响顾客交付的，品质部应组织专项分析，修订防护要求或作业指导书，防止再发生。</w:t>
      </w:r>
    </w:p>
    <w:p>
      <w:pPr>
        <w:numPr>
          <w:ilvl w:val="0"/>
          <w:numId w:val="1011"/>
        </w:numPr>
        <w:pStyle w:val="Compact"/>
      </w:pPr>
      <w:r>
        <w:t xml:space="preserve">防护异常及处置记录由品质部归档，作为管理评审和持续改进的输入。</w:t>
      </w:r>
    </w:p>
    <w:p>
      <w:pPr>
        <w:pStyle w:val="Heading3"/>
      </w:pPr>
      <w:bookmarkStart w:id="32" w:name="流程图文字版"/>
      <w:r>
        <w:t xml:space="preserve">4.8 流程图（文字版）</w:t>
      </w:r>
      <w:bookmarkEnd w:id="32"/>
    </w:p>
    <w:p>
      <w:pPr>
        <w:pStyle w:val="SourceCode"/>
      </w:pPr>
      <w:r>
        <w:rPr>
          <w:rStyle w:val="VerbatimChar"/>
        </w:rPr>
        <w:t xml:space="preserve">防护要求识别（技术部：搬运/包装/储存/保护要求一览表）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原材料/外购件入库验收 → 分区存放 + 标识防护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生产过程流转：工序间搬运防护（容器/工具/轻拿轻放）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在制品/半成品暂存（定置摆放 + 标识 + 防护）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成品检验合格 → 包装防护（按包装作业指导书）→ 包装检验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成品入库储存（环境控制/先进先出/定期巡检）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发运交付（装车防护 → 运输 → 顾客签收）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异常？──是──→ 隔离报告 → 品质部评审处置（不合格品控制程序）</w:t>
      </w:r>
      <w:r>
        <w:br/>
      </w:r>
      <w:r>
        <w:rPr>
          <w:rStyle w:val="VerbatimChar"/>
        </w:rPr>
        <w:t xml:space="preserve">        ↓ 否</w:t>
      </w:r>
      <w:r>
        <w:br/>
      </w:r>
      <w:r>
        <w:rPr>
          <w:rStyle w:val="VerbatimChar"/>
        </w:rPr>
        <w:t xml:space="preserve">记录归档（仓储部/品质部）</w:t>
      </w:r>
    </w:p>
    <w:p>
      <w:pPr>
        <w:pStyle w:val="Heading2"/>
      </w:pPr>
      <w:bookmarkStart w:id="33" w:name="五相关记录"/>
      <w:r>
        <w:t xml:space="preserve">五、相关记录</w:t>
      </w:r>
      <w:bookmarkEnd w:id="3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产品防护要求一览表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库房温湿度记录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产品防护巡检记录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搬运作业记录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  <w:tc>
          <w:p>
            <w:pPr>
              <w:pStyle w:val="Compact"/>
              <w:jc w:val="left"/>
            </w:pPr>
            <w:r>
              <w:t xml:space="preserve">2 年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包装检验记录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成品出库单/发货单</w:t>
            </w:r>
          </w:p>
        </w:tc>
        <w:tc>
          <w:p>
            <w:pPr>
              <w:pStyle w:val="Compact"/>
              <w:jc w:val="left"/>
            </w:pPr>
            <w:r>
              <w:t xml:space="preserve">仓储部/物流部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库存盘点记录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产品防护异常报告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5 年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</w:tr>
    </w:tbl>
    <w:p>
      <w:pPr>
        <w:pStyle w:val="Heading2"/>
      </w:pPr>
      <w:bookmarkStart w:id="34" w:name="六相关文件"/>
      <w:r>
        <w:t xml:space="preserve">六、相关文件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《文件控制程序》</w:t>
      </w:r>
    </w:p>
    <w:p>
      <w:pPr>
        <w:numPr>
          <w:ilvl w:val="0"/>
          <w:numId w:val="1012"/>
        </w:numPr>
        <w:pStyle w:val="Compact"/>
      </w:pPr>
      <w:r>
        <w:t xml:space="preserve">《记录控制程序》</w:t>
      </w:r>
    </w:p>
    <w:p>
      <w:pPr>
        <w:numPr>
          <w:ilvl w:val="0"/>
          <w:numId w:val="1012"/>
        </w:numPr>
        <w:pStyle w:val="Compact"/>
      </w:pPr>
      <w:r>
        <w:t xml:space="preserve">《生产过程控制程序》</w:t>
      </w:r>
    </w:p>
    <w:p>
      <w:pPr>
        <w:numPr>
          <w:ilvl w:val="0"/>
          <w:numId w:val="1012"/>
        </w:numPr>
        <w:pStyle w:val="Compact"/>
      </w:pPr>
      <w:r>
        <w:t xml:space="preserve">《标识和可追溯性控制程序》</w:t>
      </w:r>
    </w:p>
    <w:p>
      <w:pPr>
        <w:numPr>
          <w:ilvl w:val="0"/>
          <w:numId w:val="1012"/>
        </w:numPr>
        <w:pStyle w:val="Compact"/>
      </w:pPr>
      <w:r>
        <w:t xml:space="preserve">《顾客财产控制程序》</w:t>
      </w:r>
    </w:p>
    <w:p>
      <w:pPr>
        <w:numPr>
          <w:ilvl w:val="0"/>
          <w:numId w:val="1012"/>
        </w:numPr>
        <w:pStyle w:val="Compact"/>
      </w:pPr>
      <w:r>
        <w:t xml:space="preserve">《产品放行控制程序》</w:t>
      </w:r>
    </w:p>
    <w:p>
      <w:pPr>
        <w:numPr>
          <w:ilvl w:val="0"/>
          <w:numId w:val="1012"/>
        </w:numPr>
        <w:pStyle w:val="Compact"/>
      </w:pPr>
      <w:r>
        <w:t xml:space="preserve">《不合格品控制程序》</w:t>
      </w:r>
    </w:p>
    <w:p>
      <w:pPr>
        <w:numPr>
          <w:ilvl w:val="0"/>
          <w:numId w:val="1012"/>
        </w:numPr>
        <w:pStyle w:val="Compact"/>
      </w:pPr>
      <w:r>
        <w:t xml:space="preserve">《仓储与物料防护作业指导书》（三级文件）</w:t>
      </w:r>
    </w:p>
    <w:p>
      <w:pPr>
        <w:numPr>
          <w:ilvl w:val="0"/>
          <w:numId w:val="1012"/>
        </w:numPr>
        <w:pStyle w:val="Compact"/>
      </w:pPr>
      <w:r>
        <w:t xml:space="preserve">《包装作业指导书》（三级文件）</w:t>
      </w:r>
    </w:p>
    <w:p>
      <w:pPr>
        <w:pStyle w:val="Heading2"/>
      </w:pPr>
      <w:bookmarkStart w:id="35" w:name="使用说明"/>
      <w:r>
        <w:t xml:space="preserve">使用说明</w:t>
      </w:r>
      <w:bookmarkEnd w:id="35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产品类型适配</w:t>
      </w:r>
      <w:r>
        <w:t xml:space="preserve">：电子企业应重点补充防静电防护条款；食品、药品企业应强化保质期管理、卫生防护与温湿度控制，并衔接 HACCP 要求；化工企业应细化危险品专库储存、双人双锁与泄漏应急条款；机械加工企业应突出防锈、防磕碰与大型工件吊装搬运要求。可在 4.1 中以附录形式列出本企业产品防护要求清单，逐类产品对应防护要点。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组织架构适配</w:t>
      </w:r>
      <w:r>
        <w:t xml:space="preserve">：无独立仓储部的小型企业，可将仓储职责并入生产部或由指定仓管员负责，明确专人每日巡查；销售与物流合一的企业，将交付防护职责统一归口销售部即可。仓库面积小的企业，可采用</w:t>
      </w:r>
      <w:r>
        <w:t xml:space="preserve">“</w:t>
      </w:r>
      <w:r>
        <w:t xml:space="preserve">日清日结</w:t>
      </w:r>
      <w:r>
        <w:t xml:space="preserve">”</w:t>
      </w:r>
      <w:r>
        <w:t xml:space="preserve">方式减少在库时间，缩短防护周期。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外包运输适配</w:t>
      </w:r>
      <w:r>
        <w:t xml:space="preserve">：以第三方物流为主的企业，应把 4.6 细化为《运输外包管理规定》，明确承运方资质要求、装车验收交接、运输过程信息跟踪与到货破损责任划分，并在运输合同中固化防护条款。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信息化适配</w:t>
      </w:r>
      <w:r>
        <w:t xml:space="preserve">：使用 ERP/WMS 系统的企业，可用系统库存模块替代手工台账，但</w:t>
      </w:r>
      <w:r>
        <w:t xml:space="preserve">“</w:t>
      </w:r>
      <w:r>
        <w:t xml:space="preserve">先进先出</w:t>
      </w:r>
      <w:r>
        <w:t xml:space="preserve">”</w:t>
      </w:r>
      <w:r>
        <w:t xml:space="preserve">的批次管控和</w:t>
      </w:r>
      <w:r>
        <w:t xml:space="preserve">“</w:t>
      </w:r>
      <w:r>
        <w:t xml:space="preserve">账物卡一致</w:t>
      </w:r>
      <w:r>
        <w:t xml:space="preserve">”</w:t>
      </w:r>
      <w:r>
        <w:t xml:space="preserve">的盘点要求不变；温湿度记录可改用自动监测记录仪，数据定期导出归档。</w:t>
      </w:r>
    </w:p>
    <w:p>
      <w:pPr>
        <w:pStyle w:val="FirstParagraph"/>
      </w:pPr>
      <w:r>
        <w:rPr>
          <w:b/>
        </w:rPr>
        <w:t xml:space="preserve">二、审核关注点（认证审核时高频检查项）</w:t>
      </w:r>
    </w:p>
    <w:p>
      <w:pPr>
        <w:numPr>
          <w:ilvl w:val="0"/>
          <w:numId w:val="1014"/>
        </w:numPr>
        <w:pStyle w:val="Compact"/>
      </w:pPr>
      <w:r>
        <w:t xml:space="preserve">审核员会现场查看仓库：抽查 2～3 个品种的库存产品，核对台账、标识卡、实物是否一致，检查是否按分区存放、有无防护警示标识、堆码是否合规。</w:t>
      </w:r>
    </w:p>
    <w:p>
      <w:pPr>
        <w:numPr>
          <w:ilvl w:val="0"/>
          <w:numId w:val="1014"/>
        </w:numPr>
        <w:pStyle w:val="Compact"/>
      </w:pPr>
      <w:r>
        <w:t xml:space="preserve">会检查温湿度记录：有温湿度要求的产品，记录是否连续完整、超标是否有处置记录、是否闭环。</w:t>
      </w:r>
    </w:p>
    <w:p>
      <w:pPr>
        <w:numPr>
          <w:ilvl w:val="0"/>
          <w:numId w:val="1014"/>
        </w:numPr>
        <w:pStyle w:val="Compact"/>
      </w:pPr>
      <w:r>
        <w:t xml:space="preserve">会追溯一批成品的发运记录：从出库单、装车记录到顾客签收单，验证交付过程防护是否受控。</w:t>
      </w:r>
    </w:p>
    <w:p>
      <w:pPr>
        <w:numPr>
          <w:ilvl w:val="0"/>
          <w:numId w:val="1014"/>
        </w:numPr>
        <w:pStyle w:val="Compact"/>
      </w:pPr>
      <w:r>
        <w:t xml:space="preserve">会询问搬运人员：是否知道易碎/防静电/怕潮产品的搬运要求，现场观察实际搬运操作是否与程序一致。</w:t>
      </w:r>
    </w:p>
    <w:p>
      <w:pPr>
        <w:numPr>
          <w:ilvl w:val="0"/>
          <w:numId w:val="1014"/>
        </w:numPr>
        <w:pStyle w:val="Compact"/>
      </w:pPr>
      <w:r>
        <w:t xml:space="preserve">会验证 8.5.4 条款覆盖完整性：标识、搬运、包装、储存、保护五个要素是否都有对应条文和记录支撑。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防护要求未形成文件</w:t>
      </w:r>
      <w:r>
        <w:t xml:space="preserve">：程序里写了</w:t>
      </w:r>
      <w:r>
        <w:t xml:space="preserve">“</w:t>
      </w:r>
      <w:r>
        <w:t xml:space="preserve">做好防护</w:t>
      </w:r>
      <w:r>
        <w:t xml:space="preserve">”</w:t>
      </w:r>
      <w:r>
        <w:t xml:space="preserve">但没有具体标准，现场执行凭感觉，审核时无法提供证据。应把防护要求落到《产品防护要求一览表》和作业指导书中。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温湿度记录造假或补记</w:t>
      </w:r>
      <w:r>
        <w:t xml:space="preserve">：记录一次填一周甚至整月，被审核员发现记录时间与值班日志矛盾，直接开不符合项。应坚持每日如实记录。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先进先出流于形式</w:t>
      </w:r>
      <w:r>
        <w:t xml:space="preserve">：台账不记录批次，发放时随意取货，导致超期产品流入顾客，甚至引发客诉。批次管理和发放核对必须落实。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搬运野蛮作业</w:t>
      </w:r>
      <w:r>
        <w:t xml:space="preserve">：程序写得规范，现场叉车超载、抛掷周转箱，程序与实际</w:t>
      </w:r>
      <w:r>
        <w:t xml:space="preserve">“</w:t>
      </w:r>
      <w:r>
        <w:t xml:space="preserve">两张皮</w:t>
      </w:r>
      <w:r>
        <w:t xml:space="preserve">”</w:t>
      </w:r>
      <w:r>
        <w:t xml:space="preserve">。应通过培训和现场巡查纠正。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交付环节防护缺失</w:t>
      </w:r>
      <w:r>
        <w:t xml:space="preserve">：只管到出库为止，运输途中和顾客签收环节无跟踪、无记录，出现到货破损时责任说不清。应保留运输交接和签收证据。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防护异常不闭环</w:t>
      </w:r>
      <w:r>
        <w:t xml:space="preserve">：巡检发现包装破损、产品受潮，只做记录不处置、不验证，异常长期挂账。应明确异常报告、处置、验证的时限和责任人。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标识搬运包装储存保护，全程防护交付完好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2026-09-12T10:35:35Z</dcterms:created>
  <dcterms:modified xsi:type="dcterms:W3CDTF">2026-09-12T10:35:35Z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