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22不合格品控制程序8.7"/>
      <w:r>
        <w:t xml:space="preserve">ISO9001体系文件套包（22）｜不合格品控制程序（8.7）</w:t>
      </w:r>
      <w:bookmarkEnd w:id="20"/>
    </w:p>
    <w:p>
      <w:pPr>
        <w:pStyle w:val="BlockText"/>
      </w:pPr>
      <w:r>
        <w:rPr>
          <w:b/>
        </w:rPr>
        <w:t xml:space="preserve">文件说明</w:t>
      </w:r>
      <w:r>
        <w:t xml:space="preserve">：本程序对应 ISO 9001:2015 标准条款 8.7</w:t>
      </w:r>
      <w:r>
        <w:t xml:space="preserve">“</w:t>
      </w:r>
      <w:r>
        <w:t xml:space="preserve">不合格输出的控制</w:t>
      </w:r>
      <w:r>
        <w:t xml:space="preserve">”</w:t>
      </w:r>
      <w:r>
        <w:t xml:space="preserve">，是质量管理体系中守住</w:t>
      </w:r>
      <w:r>
        <w:t xml:space="preserve">“</w:t>
      </w:r>
      <w:r>
        <w:t xml:space="preserve">产品合格底线</w:t>
      </w:r>
      <w:r>
        <w:t xml:space="preserve">”</w:t>
      </w:r>
      <w:r>
        <w:t xml:space="preserve">的关键防线。它的核心作用有三：一是对不合格品实施标识、隔离与受控管理，防止其被非预期使用或交付；二是通过分级评审与处置（返工、返修、让步接收、降级使用、报废），实现不合格品</w:t>
      </w:r>
      <w:r>
        <w:t xml:space="preserve">“</w:t>
      </w:r>
      <w:r>
        <w:t xml:space="preserve">不误用、不流失、不浪费</w:t>
      </w:r>
      <w:r>
        <w:t xml:space="preserve">”</w:t>
      </w:r>
      <w:r>
        <w:t xml:space="preserve">；三是通过不合格信息的记录与统计分析，为 10.2 纠正措施和持续改进提供输入。本程序适用于所有建立质量管理体系的生产制造、加工装配及服务型企业，尤其适合多工序、多供应商、来料检验与成品检验并存的企业。8.7 是认证审核的必查条款，现场审核中大量不符合项都出在不合格品标识不清、隔离不到位、处置无记录这三个环节，一份可落地的不合格品控制程序是体系有效运行的基本保障。</w:t>
      </w:r>
    </w:p>
    <w:p>
      <w:pPr>
        <w:pStyle w:val="Heading2"/>
      </w:pPr>
      <w:bookmarkStart w:id="21" w:name="一目的"/>
      <w:r>
        <w:t xml:space="preserve">一、目的</w:t>
      </w:r>
      <w:bookmarkEnd w:id="21"/>
    </w:p>
    <w:p>
      <w:pPr>
        <w:pStyle w:val="FirstParagraph"/>
      </w:pPr>
      <w:r>
        <w:t xml:space="preserve">规范本公司不合格品的判定、标识、隔离、评审、处置及记录管理，确保不合格输出在产品实现全过程中得到有效控制，防止不合格品被非预期使用或交付顾客；通过不合格品信息的统计分析与反馈，为原因分析、纠正措施和持续改进提供依据，不断提升产品质量水平。</w:t>
      </w:r>
    </w:p>
    <w:p>
      <w:pPr>
        <w:pStyle w:val="Heading2"/>
      </w:pPr>
      <w:bookmarkStart w:id="22" w:name="二适用范围"/>
      <w:r>
        <w:t xml:space="preserve">二、适用范围</w:t>
      </w:r>
      <w:bookmarkEnd w:id="22"/>
    </w:p>
    <w:p>
      <w:pPr>
        <w:pStyle w:val="FirstParagraph"/>
      </w:pPr>
      <w:r>
        <w:t xml:space="preserve">适用于本公司采购产品（原辅材料、外购件、外包过程结果）、生产过程中的中间产品（半成品）、最终产品以及交付后发现的不合格品的控制，同时适用于服务提供过程中出现的不合格输出（含交付延误、服务差错、资料错误等）及顾客财产中发现的不合格。对本程序而言，</w:t>
      </w:r>
      <w:r>
        <w:t xml:space="preserve">“</w:t>
      </w:r>
      <w:r>
        <w:t xml:space="preserve">不合格品</w:t>
      </w:r>
      <w:r>
        <w:t xml:space="preserve">”</w:t>
      </w:r>
      <w:r>
        <w:t xml:space="preserve">包括不满足规定要求的产品、过程输出或服务结果。</w:t>
      </w:r>
    </w:p>
    <w:p>
      <w:pPr>
        <w:pStyle w:val="Heading2"/>
      </w:pPr>
      <w:bookmarkStart w:id="23" w:name="三职责"/>
      <w:r>
        <w:t xml:space="preserve">三、职责</w:t>
      </w:r>
      <w:bookmarkEnd w:id="23"/>
    </w:p>
    <w:tbl>
      <w:tblPr>
        <w:tblStyle w:val="Table"/>
        <w:tblW w:type="pct" w:w="0.0"/>
        <w:tblLook w:firstRow="1"/>
      </w:tblPr>
      <w:tblGrid/>
      <w:tr>
        <w:trPr>
          <w:cnfStyle w:firstRow="1"/>
        </w:trPr>
        <w:tc>
          <w:tcPr>
            <w:tcBorders>
              <w:bottom w:val="single"/>
            </w:tcBorders>
            <w:vAlign w:val="bottom"/>
          </w:tcPr>
          <w:p>
            <w:pPr>
              <w:pStyle w:val="Compact"/>
              <w:jc w:val="left"/>
            </w:pPr>
            <w:r>
              <w:t xml:space="preserve">责任部门/岗位</w:t>
            </w:r>
          </w:p>
        </w:tc>
        <w:tc>
          <w:tcPr>
            <w:tcBorders>
              <w:bottom w:val="single"/>
            </w:tcBorders>
            <w:vAlign w:val="bottom"/>
          </w:tcPr>
          <w:p>
            <w:pPr>
              <w:pStyle w:val="Compact"/>
              <w:jc w:val="left"/>
            </w:pPr>
            <w:r>
              <w:t xml:space="preserve">职责内容</w:t>
            </w:r>
          </w:p>
        </w:tc>
      </w:tr>
      <w:tr>
        <w:tc>
          <w:p>
            <w:pPr>
              <w:pStyle w:val="Compact"/>
              <w:jc w:val="left"/>
            </w:pPr>
            <w:r>
              <w:t xml:space="preserve">质检部</w:t>
            </w:r>
          </w:p>
        </w:tc>
        <w:tc>
          <w:p>
            <w:pPr>
              <w:pStyle w:val="Compact"/>
              <w:jc w:val="left"/>
            </w:pPr>
            <w:r>
              <w:t xml:space="preserve">负责不合格品的判定、标识监督与隔离监督；组织一般不合格品的评审；归口管理《不合格品台账》与月度统计分析；监督处置结果的验证</w:t>
            </w:r>
          </w:p>
        </w:tc>
      </w:tr>
      <w:tr>
        <w:tc>
          <w:p>
            <w:pPr>
              <w:pStyle w:val="Compact"/>
              <w:jc w:val="left"/>
            </w:pPr>
            <w:r>
              <w:t xml:space="preserve">生产部及责任部门</w:t>
            </w:r>
          </w:p>
        </w:tc>
        <w:tc>
          <w:p>
            <w:pPr>
              <w:pStyle w:val="Compact"/>
              <w:jc w:val="left"/>
            </w:pPr>
            <w:r>
              <w:t xml:space="preserve">负责对本部门产生的不合格品进行初步标识、隔离与申报；负责实施返工、返修、分选等处置作业；分析本部门不合格原因并提出改进措施</w:t>
            </w:r>
          </w:p>
        </w:tc>
      </w:tr>
      <w:tr>
        <w:tc>
          <w:p>
            <w:pPr>
              <w:pStyle w:val="Compact"/>
              <w:jc w:val="left"/>
            </w:pPr>
            <w:r>
              <w:t xml:space="preserve">技术部</w:t>
            </w:r>
          </w:p>
        </w:tc>
        <w:tc>
          <w:p>
            <w:pPr>
              <w:pStyle w:val="Compact"/>
              <w:jc w:val="left"/>
            </w:pPr>
            <w:r>
              <w:t xml:space="preserve">负责对不合格品处置方式（返工/返修/让步接收/降级使用/报废）进行技术可行性评估；制定返工、返修工艺方案及重新检验准则</w:t>
            </w:r>
          </w:p>
        </w:tc>
      </w:tr>
      <w:tr>
        <w:tc>
          <w:p>
            <w:pPr>
              <w:pStyle w:val="Compact"/>
              <w:jc w:val="left"/>
            </w:pPr>
            <w:r>
              <w:t xml:space="preserve">仓库</w:t>
            </w:r>
          </w:p>
        </w:tc>
        <w:tc>
          <w:p>
            <w:pPr>
              <w:pStyle w:val="Compact"/>
              <w:jc w:val="left"/>
            </w:pPr>
            <w:r>
              <w:t xml:space="preserve">负责不合格品区域的物理隔离与标识维护；凭处置结论办理相关出入库手续</w:t>
            </w:r>
          </w:p>
        </w:tc>
      </w:tr>
      <w:tr>
        <w:tc>
          <w:p>
            <w:pPr>
              <w:pStyle w:val="Compact"/>
              <w:jc w:val="left"/>
            </w:pPr>
            <w:r>
              <w:t xml:space="preserve">不合格品评审组</w:t>
            </w:r>
          </w:p>
        </w:tc>
        <w:tc>
          <w:p>
            <w:pPr>
              <w:pStyle w:val="Compact"/>
              <w:jc w:val="left"/>
            </w:pPr>
            <w:r>
              <w:t xml:space="preserve">由质检部负责人主持，技术、生产、销售等相关人员参加，负责重要不合格品的评审并作出处置决定</w:t>
            </w:r>
          </w:p>
        </w:tc>
      </w:tr>
      <w:tr>
        <w:tc>
          <w:p>
            <w:pPr>
              <w:pStyle w:val="Compact"/>
              <w:jc w:val="left"/>
            </w:pPr>
            <w:r>
              <w:t xml:space="preserve">管理者代表</w:t>
            </w:r>
          </w:p>
        </w:tc>
        <w:tc>
          <w:p>
            <w:pPr>
              <w:pStyle w:val="Compact"/>
              <w:jc w:val="left"/>
            </w:pPr>
            <w:r>
              <w:t xml:space="preserve">负责批准涉及重要顾客、重大批量或重复发生的不合格品处置方案</w:t>
            </w:r>
          </w:p>
        </w:tc>
      </w:tr>
      <w:tr>
        <w:tc>
          <w:p>
            <w:pPr>
              <w:pStyle w:val="Compact"/>
              <w:jc w:val="left"/>
            </w:pPr>
            <w:r>
              <w:t xml:space="preserve">总经理</w:t>
            </w:r>
          </w:p>
        </w:tc>
        <w:tc>
          <w:p>
            <w:pPr>
              <w:pStyle w:val="Compact"/>
              <w:jc w:val="left"/>
            </w:pPr>
            <w:r>
              <w:t xml:space="preserve">负责批准涉及顾客要求、法规符合性或安全特性的让步接收（适用时须事先征得顾客同意）</w:t>
            </w:r>
          </w:p>
        </w:tc>
      </w:tr>
      <w:tr>
        <w:tc>
          <w:p>
            <w:pPr>
              <w:pStyle w:val="Compact"/>
              <w:jc w:val="left"/>
            </w:pPr>
            <w:r>
              <w:t xml:space="preserve">销售部</w:t>
            </w:r>
          </w:p>
        </w:tc>
        <w:tc>
          <w:p>
            <w:pPr>
              <w:pStyle w:val="Compact"/>
              <w:jc w:val="left"/>
            </w:pPr>
            <w:r>
              <w:t xml:space="preserve">负责将交付后发现的不合格及让步接收事项与顾客沟通，跟踪顾客反馈及召回、换货等处理结果</w:t>
            </w:r>
          </w:p>
        </w:tc>
      </w:tr>
    </w:tbl>
    <w:p>
      <w:pPr>
        <w:pStyle w:val="Heading2"/>
      </w:pPr>
      <w:bookmarkStart w:id="24" w:name="四工作程序"/>
      <w:r>
        <w:t xml:space="preserve">四、工作程序</w:t>
      </w:r>
      <w:bookmarkEnd w:id="24"/>
    </w:p>
    <w:p>
      <w:pPr>
        <w:pStyle w:val="Heading3"/>
      </w:pPr>
      <w:bookmarkStart w:id="25" w:name="不合格品的判定与标识"/>
      <w:r>
        <w:t xml:space="preserve">4.1 不合格品的判定与标识</w:t>
      </w:r>
      <w:bookmarkEnd w:id="25"/>
    </w:p>
    <w:p>
      <w:pPr>
        <w:pStyle w:val="FirstParagraph"/>
      </w:pPr>
      <w:r>
        <w:t xml:space="preserve">4.1.1 不合格品的发现途径包括：进货检验、过程检验、成品检验、顾客投诉与退货、内部审核、监视测量、顾客财产检查等。任何岗位发现不合格品，均有义务立即报告质检部，不得隐瞒、不得擅自处理。</w:t>
      </w:r>
    </w:p>
    <w:p>
      <w:pPr>
        <w:pStyle w:val="BodyText"/>
      </w:pPr>
      <w:r>
        <w:t xml:space="preserve">4.1.2 判定依据为经批准的检验规程、验收标准、产品图纸、工艺文件及顾客要求。判定结论分为：合格、不合格（轻微/一般/严重）、待评审（无法当场判定时）。</w:t>
      </w:r>
    </w:p>
    <w:p>
      <w:pPr>
        <w:pStyle w:val="BodyText"/>
      </w:pPr>
      <w:r>
        <w:t xml:space="preserve">4.1.3 不合格品一经判定，立即进行标识。标识方式包括：红色</w:t>
      </w:r>
      <w:r>
        <w:t xml:space="preserve">“</w:t>
      </w:r>
      <w:r>
        <w:t xml:space="preserve">不合格</w:t>
      </w:r>
      <w:r>
        <w:t xml:space="preserve">”</w:t>
      </w:r>
      <w:r>
        <w:t xml:space="preserve">标签、不合格品印章、区域标识牌、随工单上</w:t>
      </w:r>
      <w:r>
        <w:t xml:space="preserve">“</w:t>
      </w:r>
      <w:r>
        <w:t xml:space="preserve">不合格</w:t>
      </w:r>
      <w:r>
        <w:t xml:space="preserve">”</w:t>
      </w:r>
      <w:r>
        <w:t xml:space="preserve">标记等。标识内容应包含：产品名称、规格、批次/编号、数量、不合格项目、判定人、判定日期。标识应清晰、牢固、不易脱落，确保在流转过程中始终可识别。</w:t>
      </w:r>
    </w:p>
    <w:p>
      <w:pPr>
        <w:pStyle w:val="Heading3"/>
      </w:pPr>
      <w:bookmarkStart w:id="26" w:name="不合格品的隔离"/>
      <w:r>
        <w:t xml:space="preserve">4.2 不合格品的隔离</w:t>
      </w:r>
      <w:bookmarkEnd w:id="26"/>
    </w:p>
    <w:p>
      <w:pPr>
        <w:pStyle w:val="FirstParagraph"/>
      </w:pPr>
      <w:r>
        <w:t xml:space="preserve">4.2.1 不合格品应存放在划定的</w:t>
      </w:r>
      <w:r>
        <w:t xml:space="preserve">“</w:t>
      </w:r>
      <w:r>
        <w:t xml:space="preserve">不合格品区</w:t>
      </w:r>
      <w:r>
        <w:t xml:space="preserve">”</w:t>
      </w:r>
      <w:r>
        <w:t xml:space="preserve">（红区），与合格品、待检品严格分开。存放时分类码放，挂</w:t>
      </w:r>
      <w:r>
        <w:t xml:space="preserve">“</w:t>
      </w:r>
      <w:r>
        <w:t xml:space="preserve">不合格品</w:t>
      </w:r>
      <w:r>
        <w:t xml:space="preserve">”</w:t>
      </w:r>
      <w:r>
        <w:t xml:space="preserve">标识牌，并注明批次与数量。</w:t>
      </w:r>
    </w:p>
    <w:p>
      <w:pPr>
        <w:pStyle w:val="BodyText"/>
      </w:pPr>
      <w:r>
        <w:t xml:space="preserve">4.2.2 对无法移入不合格品区的产品（如大型设备、在线产品），应就地挂红色标识并设围栏/警示线，安排专人看管或上锁，防止误用、误装、误发。</w:t>
      </w:r>
    </w:p>
    <w:p>
      <w:pPr>
        <w:pStyle w:val="BodyText"/>
      </w:pPr>
      <w:r>
        <w:t xml:space="preserve">4.2.3 隔离期间，任何部门不得擅自启用不合格品。确需取样分析、评审查看的，须经质检部同意并办理借用手续，用后归位。</w:t>
      </w:r>
    </w:p>
    <w:p>
      <w:pPr>
        <w:pStyle w:val="BodyText"/>
      </w:pPr>
      <w:r>
        <w:t xml:space="preserve">4.2.4 仓库对不合格品凭《不合格品报告单》办理暂存手续，未经处置结论不得办理入库、出库或发运。</w:t>
      </w:r>
    </w:p>
    <w:p>
      <w:pPr>
        <w:pStyle w:val="Heading3"/>
      </w:pPr>
      <w:bookmarkStart w:id="27" w:name="不合格品的申报与评审"/>
      <w:r>
        <w:t xml:space="preserve">4.3 不合格品的申报与评审</w:t>
      </w:r>
      <w:bookmarkEnd w:id="27"/>
    </w:p>
    <w:p>
      <w:pPr>
        <w:pStyle w:val="FirstParagraph"/>
      </w:pPr>
      <w:r>
        <w:t xml:space="preserve">4.3.1 发现不合格的责任部门或检验员填写《不合格品报告单》，注明产品信息、不合格描述、数量、发现环节、发现日期，随同实物提交质检部。</w:t>
      </w:r>
    </w:p>
    <w:p>
      <w:pPr>
        <w:pStyle w:val="BodyText"/>
      </w:pPr>
      <w:r>
        <w:t xml:space="preserve">4.3.2 质检部对不合格品实行分级评审：</w:t>
      </w:r>
    </w:p>
    <w:p>
      <w:pPr>
        <w:numPr>
          <w:ilvl w:val="0"/>
          <w:numId w:val="1001"/>
        </w:numPr>
        <w:pStyle w:val="Compact"/>
      </w:pPr>
      <w:r>
        <w:rPr>
          <w:b/>
        </w:rPr>
        <w:t xml:space="preserve">一般不合格</w:t>
      </w:r>
      <w:r>
        <w:t xml:space="preserve">（不影响性能与安全、数量少、可当场判定处置方式的）：由质检部负责人或其授权检验员评审，直接确定处置方式并记录；</w:t>
      </w:r>
    </w:p>
    <w:p>
      <w:pPr>
        <w:numPr>
          <w:ilvl w:val="0"/>
          <w:numId w:val="1001"/>
        </w:numPr>
        <w:pStyle w:val="Compact"/>
      </w:pPr>
      <w:r>
        <w:rPr>
          <w:b/>
        </w:rPr>
        <w:t xml:space="preserve">重要不合格</w:t>
      </w:r>
      <w:r>
        <w:t xml:space="preserve">（影响使用性能、批量性不合格、涉及关键/重要特性、重复发生的不合格）：由质检部负责人召集评审组（技术、生产、必要时销售参加）进行评审，形成评审结论；</w:t>
      </w:r>
    </w:p>
    <w:p>
      <w:pPr>
        <w:numPr>
          <w:ilvl w:val="0"/>
          <w:numId w:val="1001"/>
        </w:numPr>
        <w:pStyle w:val="Compact"/>
      </w:pPr>
      <w:r>
        <w:rPr>
          <w:b/>
        </w:rPr>
        <w:t xml:space="preserve">重大不合格</w:t>
      </w:r>
      <w:r>
        <w:t xml:space="preserve">（涉及安全、法规符合性、顾客重大投诉、批量报废）：评审组评审后报管理者代表/总经理批准，涉及顾客要求的须事先与顾客沟通。</w:t>
      </w:r>
    </w:p>
    <w:p>
      <w:pPr>
        <w:pStyle w:val="FirstParagraph"/>
      </w:pPr>
      <w:r>
        <w:t xml:space="preserve">4.3.3 评审内容包括：不合格的性质与程度、对后续工序及最终产品的影响、对交付及法规符合性的影响、可选处置方式及其风险、处置责任部门与完成期限。评审结论应形成记录，参加人员签字确认。</w:t>
      </w:r>
    </w:p>
    <w:p>
      <w:pPr>
        <w:pStyle w:val="Heading3"/>
      </w:pPr>
      <w:bookmarkStart w:id="28" w:name="不合格品的处置"/>
      <w:r>
        <w:t xml:space="preserve">4.4 不合格品的处置</w:t>
      </w:r>
      <w:bookmarkEnd w:id="28"/>
    </w:p>
    <w:p>
      <w:pPr>
        <w:pStyle w:val="FirstParagraph"/>
      </w:pPr>
      <w:r>
        <w:t xml:space="preserve">4.4.1 经评审确定的不合格品处置方式包括：</w:t>
      </w:r>
    </w:p>
    <w:p>
      <w:pPr>
        <w:numPr>
          <w:ilvl w:val="0"/>
          <w:numId w:val="1002"/>
        </w:numPr>
        <w:pStyle w:val="Compact"/>
      </w:pPr>
      <w:r>
        <w:rPr>
          <w:b/>
        </w:rPr>
        <w:t xml:space="preserve">返工</w:t>
      </w:r>
      <w:r>
        <w:t xml:space="preserve">：使不合格品符合规定要求而采取的措施。返工后须按原检验准则（或返工工艺规定的准则）重新检验，合格后方可放行；</w:t>
      </w:r>
    </w:p>
    <w:p>
      <w:pPr>
        <w:numPr>
          <w:ilvl w:val="0"/>
          <w:numId w:val="1002"/>
        </w:numPr>
        <w:pStyle w:val="Compact"/>
      </w:pPr>
      <w:r>
        <w:rPr>
          <w:b/>
        </w:rPr>
        <w:t xml:space="preserve">返修</w:t>
      </w:r>
      <w:r>
        <w:t xml:space="preserve">：使不合格品满足预期用途但不等同于完全符合原规定要求的措施。返修后须按返修工艺规定的准则重新验证，并告知顾客（适用时）；</w:t>
      </w:r>
    </w:p>
    <w:p>
      <w:pPr>
        <w:numPr>
          <w:ilvl w:val="0"/>
          <w:numId w:val="1002"/>
        </w:numPr>
        <w:pStyle w:val="Compact"/>
      </w:pPr>
      <w:r>
        <w:rPr>
          <w:b/>
        </w:rPr>
        <w:t xml:space="preserve">让步接收</w:t>
      </w:r>
      <w:r>
        <w:t xml:space="preserve">：对使用或放行不符合规定要求的产品/服务的许可。让步接收须经授权人员批准，涉及顾客要求时须事先取得顾客同意并保留证据；</w:t>
      </w:r>
    </w:p>
    <w:p>
      <w:pPr>
        <w:numPr>
          <w:ilvl w:val="0"/>
          <w:numId w:val="1002"/>
        </w:numPr>
        <w:pStyle w:val="Compact"/>
      </w:pPr>
      <w:r>
        <w:rPr>
          <w:b/>
        </w:rPr>
        <w:t xml:space="preserve">降级使用</w:t>
      </w:r>
      <w:r>
        <w:t xml:space="preserve">：按经确认的较低等级用途使用不合格品。降级使用须经技术部评估并明确使用范围与限制条件；</w:t>
      </w:r>
    </w:p>
    <w:p>
      <w:pPr>
        <w:numPr>
          <w:ilvl w:val="0"/>
          <w:numId w:val="1002"/>
        </w:numPr>
        <w:pStyle w:val="Compact"/>
      </w:pPr>
      <w:r>
        <w:rPr>
          <w:b/>
        </w:rPr>
        <w:t xml:space="preserve">报废</w:t>
      </w:r>
      <w:r>
        <w:t xml:space="preserve">：对无法通过返工、返修满足要求或经济上不合理的，予以报废处置，防止其流入使用环节。</w:t>
      </w:r>
    </w:p>
    <w:p>
      <w:pPr>
        <w:pStyle w:val="FirstParagraph"/>
      </w:pPr>
      <w:r>
        <w:t xml:space="preserve">4.4.2 返工、返修作业由技术部制定方案（含工艺要求、检验准则），生产部实施，质检部对返工/返修后的产品重新检验并记录。返工、返修品应重新标识（如</w:t>
      </w:r>
      <w:r>
        <w:t xml:space="preserve">“</w:t>
      </w:r>
      <w:r>
        <w:t xml:space="preserve">返工品</w:t>
      </w:r>
      <w:r>
        <w:t xml:space="preserve">”</w:t>
      </w:r>
      <w:r>
        <w:t xml:space="preserve">“</w:t>
      </w:r>
      <w:r>
        <w:t xml:space="preserve">返修品</w:t>
      </w:r>
      <w:r>
        <w:t xml:space="preserve">”</w:t>
      </w:r>
      <w:r>
        <w:t xml:space="preserve">字样），必要时单独流转，防止与正常批次混淆。</w:t>
      </w:r>
    </w:p>
    <w:p>
      <w:pPr>
        <w:pStyle w:val="BodyText"/>
      </w:pPr>
      <w:r>
        <w:t xml:space="preserve">4.4.3 让步接收须填写《让步接收申请/批准单》，载明不符合内容、让步理由、风险评估、批准人、顾客同意证据（适用时）、让步数量与批次。让步接收的产品应保持可追溯标识，并在台账中单独登记。关键、安全特性涉及法规强制性要求的不合格品不得让步接收。</w:t>
      </w:r>
    </w:p>
    <w:p>
      <w:pPr>
        <w:pStyle w:val="BodyText"/>
      </w:pPr>
      <w:r>
        <w:t xml:space="preserve">4.4.4 报废品由责任部门填写《报废申请单》，经质检部确认、财务/仓库核销后，按环保及法规要求处置。报废品应彻底破坏或标识</w:t>
      </w:r>
      <w:r>
        <w:t xml:space="preserve">“</w:t>
      </w:r>
      <w:r>
        <w:t xml:space="preserve">废品</w:t>
      </w:r>
      <w:r>
        <w:t xml:space="preserve">”</w:t>
      </w:r>
      <w:r>
        <w:t xml:space="preserve">，防止流入市场。</w:t>
      </w:r>
    </w:p>
    <w:p>
      <w:pPr>
        <w:pStyle w:val="Heading3"/>
      </w:pPr>
      <w:bookmarkStart w:id="29" w:name="交付后发现的不合格品处理"/>
      <w:r>
        <w:t xml:space="preserve">4.5 交付后发现的不合格品处理</w:t>
      </w:r>
      <w:bookmarkEnd w:id="29"/>
    </w:p>
    <w:p>
      <w:pPr>
        <w:pStyle w:val="FirstParagraph"/>
      </w:pPr>
      <w:r>
        <w:t xml:space="preserve">4.5.1 产品交付顾客后发现不合格的（含顾客投诉、退货、召回），销售部接到信息后填写《顾客投诉处理记录》，通知质检部组织评审。</w:t>
      </w:r>
    </w:p>
    <w:p>
      <w:pPr>
        <w:pStyle w:val="BodyText"/>
      </w:pPr>
      <w:r>
        <w:t xml:space="preserve">4.5.2 质检部会同技术、生产部门分析不合格原因与影响范围，确定处理方案：换货、退货、维修、降价补偿、召回等。涉及安全、法规问题的，按法规要求启动召回程序并向相关方报告。</w:t>
      </w:r>
    </w:p>
    <w:p>
      <w:pPr>
        <w:pStyle w:val="BodyText"/>
      </w:pPr>
      <w:r>
        <w:t xml:space="preserve">4.5.3 对已发运的在途不合格批次，应立即通知物流拦截；对已使用的产品，评估其影响并采取补救措施。所有处置结果应回复顾客并保留沟通记录。</w:t>
      </w:r>
    </w:p>
    <w:p>
      <w:pPr>
        <w:pStyle w:val="BodyText"/>
      </w:pPr>
      <w:r>
        <w:t xml:space="preserve">4.5.4 交付后发现的不合格品同样纳入《不合格品台账》，并作为 10.2 纠正措施的重要输入。</w:t>
      </w:r>
    </w:p>
    <w:p>
      <w:pPr>
        <w:pStyle w:val="Heading3"/>
      </w:pPr>
      <w:bookmarkStart w:id="30" w:name="顾客财产中的不合格"/>
      <w:r>
        <w:t xml:space="preserve">4.6 顾客财产中的不合格</w:t>
      </w:r>
      <w:bookmarkEnd w:id="30"/>
    </w:p>
    <w:p>
      <w:pPr>
        <w:pStyle w:val="FirstParagraph"/>
      </w:pPr>
      <w:r>
        <w:t xml:space="preserve">4.6.1 在顾客财产（含顾客提供的原材料、图纸、模具、包装物等）的接收、贮存、使用过程中发现不合格或异常时，应进行标识、隔离，并立即书面报告顾客，由顾客确认处置意见。未经顾客同意不得擅自处理。</w:t>
      </w:r>
    </w:p>
    <w:p>
      <w:pPr>
        <w:pStyle w:val="BodyText"/>
      </w:pPr>
      <w:r>
        <w:t xml:space="preserve">4.6.2 顾客财产的检验发现及处理过程应记录，保留与顾客沟通的证据。</w:t>
      </w:r>
    </w:p>
    <w:p>
      <w:pPr>
        <w:pStyle w:val="Heading3"/>
      </w:pPr>
      <w:bookmarkStart w:id="31" w:name="不合格品的记录与统计分析"/>
      <w:r>
        <w:t xml:space="preserve">4.7 不合格品的记录与统计分析</w:t>
      </w:r>
      <w:bookmarkEnd w:id="31"/>
    </w:p>
    <w:p>
      <w:pPr>
        <w:pStyle w:val="FirstParagraph"/>
      </w:pPr>
      <w:r>
        <w:t xml:space="preserve">4.7.1 质检部建立《不合格品台账》，逐项登记不合格品的产品名称、批次、数量、发现环节、不合格项目、原因分类（人/机/料/法/环/测）、处置方式、纠正措施编号及闭环状态。</w:t>
      </w:r>
    </w:p>
    <w:p>
      <w:pPr>
        <w:pStyle w:val="BodyText"/>
      </w:pPr>
      <w:r>
        <w:t xml:space="preserve">4.7.2 质检部每月对不合格品情况进行统计分析，编制《不合格品统计分析报告》，内容包括：不合格数量与批次、不合格率趋势、主要不合格项目（按柏拉图排列）、原因分类分布、重复发生问题清单、改进建议。报告提交管理评审作为输入。</w:t>
      </w:r>
    </w:p>
    <w:p>
      <w:pPr>
        <w:pStyle w:val="BodyText"/>
      </w:pPr>
      <w:r>
        <w:t xml:space="preserve">4.7.3 对重复发生或批量性不合格，按《不合格与纠正措施程序》启动纠正措施，防止再发生。</w:t>
      </w:r>
    </w:p>
    <w:p>
      <w:pPr>
        <w:pStyle w:val="Heading3"/>
      </w:pPr>
      <w:bookmarkStart w:id="32" w:name="与纠正措施的接口"/>
      <w:r>
        <w:t xml:space="preserve">4.8 与纠正措施的接口</w:t>
      </w:r>
      <w:bookmarkEnd w:id="32"/>
    </w:p>
    <w:p>
      <w:pPr>
        <w:pStyle w:val="FirstParagraph"/>
      </w:pPr>
      <w:r>
        <w:t xml:space="preserve">4.8.1 不合格品的处置（返工、返修、让步、报废）解决的是</w:t>
      </w:r>
      <w:r>
        <w:t xml:space="preserve">“</w:t>
      </w:r>
      <w:r>
        <w:t xml:space="preserve">现有不合格怎么处理</w:t>
      </w:r>
      <w:r>
        <w:t xml:space="preserve">”</w:t>
      </w:r>
      <w:r>
        <w:t xml:space="preserve">的问题；对不合格的原因分析及消除措施按 10.2 条款执行。对批量性、重复性、影响重大的不合格，责任部门应进行原因分析并采取纠正措施，质检部跟踪验证其有效性。</w:t>
      </w:r>
    </w:p>
    <w:p>
      <w:pPr>
        <w:pStyle w:val="BodyText"/>
      </w:pPr>
      <w:r>
        <w:t xml:space="preserve">4.8.2 涉及外部供方提供产品不合格的，按《采购与外部提供控制程序》对供方采取退货、索赔、约谈、暂停供货、取消资格等措施，必要时向供方反馈并要求其整改。</w:t>
      </w:r>
    </w:p>
    <w:p>
      <w:pPr>
        <w:pStyle w:val="Heading3"/>
      </w:pPr>
      <w:bookmarkStart w:id="33" w:name="流程图文字版"/>
      <w:r>
        <w:t xml:space="preserve">4.9 流程图（文字版）</w:t>
      </w:r>
      <w:bookmarkEnd w:id="33"/>
    </w:p>
    <w:p>
      <w:pPr>
        <w:pStyle w:val="SourceCode"/>
      </w:pPr>
      <w:r>
        <w:rPr>
          <w:rStyle w:val="VerbatimChar"/>
        </w:rPr>
        <w:t xml:space="preserve">发现不合格（检验/投诉/内审/监视测量）</w:t>
      </w:r>
      <w:r>
        <w:br/>
      </w:r>
      <w:r>
        <w:rPr>
          <w:rStyle w:val="VerbatimChar"/>
        </w:rPr>
        <w:t xml:space="preserve">        │</w:t>
      </w:r>
      <w:r>
        <w:br/>
      </w:r>
      <w:r>
        <w:rPr>
          <w:rStyle w:val="VerbatimChar"/>
        </w:rPr>
        <w:t xml:space="preserve">        ▼</w:t>
      </w:r>
      <w:r>
        <w:br/>
      </w:r>
      <w:r>
        <w:rPr>
          <w:rStyle w:val="VerbatimChar"/>
        </w:rPr>
        <w:t xml:space="preserve">判定并标识（红色"不合格"标识，注明批次与项目）</w:t>
      </w:r>
      <w:r>
        <w:br/>
      </w:r>
      <w:r>
        <w:rPr>
          <w:rStyle w:val="VerbatimChar"/>
        </w:rPr>
        <w:t xml:space="preserve">        │</w:t>
      </w:r>
      <w:r>
        <w:br/>
      </w:r>
      <w:r>
        <w:rPr>
          <w:rStyle w:val="VerbatimChar"/>
        </w:rPr>
        <w:t xml:space="preserve">        ▼</w:t>
      </w:r>
      <w:r>
        <w:br/>
      </w:r>
      <w:r>
        <w:rPr>
          <w:rStyle w:val="VerbatimChar"/>
        </w:rPr>
        <w:t xml:space="preserve">隔离（不合格品区/就地隔离，防误用）</w:t>
      </w:r>
      <w:r>
        <w:br/>
      </w:r>
      <w:r>
        <w:rPr>
          <w:rStyle w:val="VerbatimChar"/>
        </w:rPr>
        <w:t xml:space="preserve">        │</w:t>
      </w:r>
      <w:r>
        <w:br/>
      </w:r>
      <w:r>
        <w:rPr>
          <w:rStyle w:val="VerbatimChar"/>
        </w:rPr>
        <w:t xml:space="preserve">        ▼</w:t>
      </w:r>
      <w:r>
        <w:br/>
      </w:r>
      <w:r>
        <w:rPr>
          <w:rStyle w:val="VerbatimChar"/>
        </w:rPr>
        <w:t xml:space="preserve">填写《不合格品报告单》→ 质检部登记台账</w:t>
      </w:r>
      <w:r>
        <w:br/>
      </w:r>
      <w:r>
        <w:rPr>
          <w:rStyle w:val="VerbatimChar"/>
        </w:rPr>
        <w:t xml:space="preserve">        │</w:t>
      </w:r>
      <w:r>
        <w:br/>
      </w:r>
      <w:r>
        <w:rPr>
          <w:rStyle w:val="VerbatimChar"/>
        </w:rPr>
        <w:t xml:space="preserve">        ▼</w:t>
      </w:r>
      <w:r>
        <w:br/>
      </w:r>
      <w:r>
        <w:rPr>
          <w:rStyle w:val="VerbatimChar"/>
        </w:rPr>
        <w:t xml:space="preserve">分级评审（一般：质检部；重要：评审组；重大：报管理者代表/总经理）</w:t>
      </w:r>
      <w:r>
        <w:br/>
      </w:r>
      <w:r>
        <w:rPr>
          <w:rStyle w:val="VerbatimChar"/>
        </w:rPr>
        <w:t xml:space="preserve">        │</w:t>
      </w:r>
      <w:r>
        <w:br/>
      </w:r>
      <w:r>
        <w:rPr>
          <w:rStyle w:val="VerbatimChar"/>
        </w:rPr>
        <w:t xml:space="preserve">        ├── 返工 ──► 按方案实施 ──► 重新检验 ──► 合格 ──► 放行/转序</w:t>
      </w:r>
      <w:r>
        <w:br/>
      </w:r>
      <w:r>
        <w:rPr>
          <w:rStyle w:val="VerbatimChar"/>
        </w:rPr>
        <w:t xml:space="preserve">        │</w:t>
      </w:r>
      <w:r>
        <w:br/>
      </w:r>
      <w:r>
        <w:rPr>
          <w:rStyle w:val="VerbatimChar"/>
        </w:rPr>
        <w:t xml:space="preserve">        ├── 返修 ──► 按方案实施 ──► 重新验证 ──► 告知顾客（适用时）──► 放行</w:t>
      </w:r>
      <w:r>
        <w:br/>
      </w:r>
      <w:r>
        <w:rPr>
          <w:rStyle w:val="VerbatimChar"/>
        </w:rPr>
        <w:t xml:space="preserve">        │</w:t>
      </w:r>
      <w:r>
        <w:br/>
      </w:r>
      <w:r>
        <w:rPr>
          <w:rStyle w:val="VerbatimChar"/>
        </w:rPr>
        <w:t xml:space="preserve">        ├── 让步接收 ──► 风险评估 ──► 授权批准（涉及顾客须顾客同意）──► 标识登记 ──► 放行</w:t>
      </w:r>
      <w:r>
        <w:br/>
      </w:r>
      <w:r>
        <w:rPr>
          <w:rStyle w:val="VerbatimChar"/>
        </w:rPr>
        <w:t xml:space="preserve">        │</w:t>
      </w:r>
      <w:r>
        <w:br/>
      </w:r>
      <w:r>
        <w:rPr>
          <w:rStyle w:val="VerbatimChar"/>
        </w:rPr>
        <w:t xml:space="preserve">        ├── 降级使用 ──► 技术评估 ──► 明确用途限制 ──► 标识登记 ──► 使用</w:t>
      </w:r>
      <w:r>
        <w:br/>
      </w:r>
      <w:r>
        <w:rPr>
          <w:rStyle w:val="VerbatimChar"/>
        </w:rPr>
        <w:t xml:space="preserve">        │</w:t>
      </w:r>
      <w:r>
        <w:br/>
      </w:r>
      <w:r>
        <w:rPr>
          <w:rStyle w:val="VerbatimChar"/>
        </w:rPr>
        <w:t xml:space="preserve">        └── 报废 ──► 报废申请 ──► 审批 ──► 破坏/标识 ──► 处置</w:t>
      </w:r>
      <w:r>
        <w:br/>
      </w:r>
      <w:r>
        <w:rPr>
          <w:rStyle w:val="VerbatimChar"/>
        </w:rPr>
        <w:t xml:space="preserve">                    │</w:t>
      </w:r>
      <w:r>
        <w:br/>
      </w:r>
      <w:r>
        <w:rPr>
          <w:rStyle w:val="VerbatimChar"/>
        </w:rPr>
        <w:t xml:space="preserve">                    ▼</w:t>
      </w:r>
      <w:r>
        <w:br/>
      </w:r>
      <w:r>
        <w:rPr>
          <w:rStyle w:val="VerbatimChar"/>
        </w:rPr>
        <w:t xml:space="preserve">        月度统计分析 → 原因分析 → 纠正措施（10.2）→ 验证闭环</w:t>
      </w:r>
    </w:p>
    <w:p>
      <w:pPr>
        <w:pStyle w:val="Heading2"/>
      </w:pPr>
      <w:bookmarkStart w:id="34" w:name="五相关记录"/>
      <w:r>
        <w:t xml:space="preserve">五、相关记录</w:t>
      </w:r>
      <w:bookmarkEnd w:id="34"/>
    </w:p>
    <w:tbl>
      <w:tblPr>
        <w:tblStyle w:val="Table"/>
        <w:tblW w:type="pct" w:w="0.0"/>
        <w:tblLook w:firstRow="1"/>
      </w:tblPr>
      <w:tblGrid/>
      <w:tr>
        <w:trPr>
          <w:cnfStyle w:firstRow="1"/>
        </w:trPr>
        <w:tc>
          <w:tcPr>
            <w:tcBorders>
              <w:bottom w:val="single"/>
            </w:tcBorders>
            <w:vAlign w:val="bottom"/>
          </w:tcPr>
          <w:p>
            <w:pPr>
              <w:pStyle w:val="Compact"/>
              <w:jc w:val="left"/>
            </w:pPr>
            <w:r>
              <w:t xml:space="preserve">记录编号</w:t>
            </w:r>
          </w:p>
        </w:tc>
        <w:tc>
          <w:tcPr>
            <w:tcBorders>
              <w:bottom w:val="single"/>
            </w:tcBorders>
            <w:vAlign w:val="bottom"/>
          </w:tcPr>
          <w:p>
            <w:pPr>
              <w:pStyle w:val="Compact"/>
              <w:jc w:val="left"/>
            </w:pPr>
            <w:r>
              <w:t xml:space="preserve">记录名称</w:t>
            </w:r>
          </w:p>
        </w:tc>
        <w:tc>
          <w:tcPr>
            <w:tcBorders>
              <w:bottom w:val="single"/>
            </w:tcBorders>
            <w:vAlign w:val="bottom"/>
          </w:tcPr>
          <w:p>
            <w:pPr>
              <w:pStyle w:val="Compact"/>
              <w:jc w:val="left"/>
            </w:pPr>
            <w:r>
              <w:t xml:space="preserve">填写要求</w:t>
            </w:r>
          </w:p>
        </w:tc>
        <w:tc>
          <w:tcPr>
            <w:tcBorders>
              <w:bottom w:val="single"/>
            </w:tcBorders>
            <w:vAlign w:val="bottom"/>
          </w:tcPr>
          <w:p>
            <w:pPr>
              <w:pStyle w:val="Compact"/>
              <w:jc w:val="left"/>
            </w:pPr>
            <w:r>
              <w:t xml:space="preserve">保存部门</w:t>
            </w:r>
          </w:p>
        </w:tc>
        <w:tc>
          <w:tcPr>
            <w:tcBorders>
              <w:bottom w:val="single"/>
            </w:tcBorders>
            <w:vAlign w:val="bottom"/>
          </w:tcPr>
          <w:p>
            <w:pPr>
              <w:pStyle w:val="Compact"/>
              <w:jc w:val="left"/>
            </w:pPr>
            <w:r>
              <w:t xml:space="preserve">保存期限</w:t>
            </w:r>
          </w:p>
        </w:tc>
      </w:tr>
      <w:tr>
        <w:tc>
          <w:p>
            <w:pPr>
              <w:pStyle w:val="Compact"/>
              <w:jc w:val="left"/>
            </w:pPr>
            <w:r>
              <w:t xml:space="preserve">QR-22-01</w:t>
            </w:r>
          </w:p>
        </w:tc>
        <w:tc>
          <w:p>
            <w:pPr>
              <w:pStyle w:val="Compact"/>
              <w:jc w:val="left"/>
            </w:pPr>
            <w:r>
              <w:t xml:space="preserve">不合格品报告单</w:t>
            </w:r>
          </w:p>
        </w:tc>
        <w:tc>
          <w:p>
            <w:pPr>
              <w:pStyle w:val="Compact"/>
              <w:jc w:val="left"/>
            </w:pPr>
            <w:r>
              <w:t xml:space="preserve">载明产品名称、批次、数量、不合格描述、发现环节、判定结论</w:t>
            </w:r>
          </w:p>
        </w:tc>
        <w:tc>
          <w:p>
            <w:pPr>
              <w:pStyle w:val="Compact"/>
              <w:jc w:val="left"/>
            </w:pPr>
            <w:r>
              <w:t xml:space="preserve">质检部</w:t>
            </w:r>
          </w:p>
        </w:tc>
        <w:tc>
          <w:p>
            <w:pPr>
              <w:pStyle w:val="Compact"/>
              <w:jc w:val="left"/>
            </w:pPr>
            <w:r>
              <w:t xml:space="preserve">3 年</w:t>
            </w:r>
          </w:p>
        </w:tc>
      </w:tr>
      <w:tr>
        <w:tc>
          <w:p>
            <w:pPr>
              <w:pStyle w:val="Compact"/>
              <w:jc w:val="left"/>
            </w:pPr>
            <w:r>
              <w:t xml:space="preserve">QR-22-02</w:t>
            </w:r>
          </w:p>
        </w:tc>
        <w:tc>
          <w:p>
            <w:pPr>
              <w:pStyle w:val="Compact"/>
              <w:jc w:val="left"/>
            </w:pPr>
            <w:r>
              <w:t xml:space="preserve">不合格品评审与处置记录单</w:t>
            </w:r>
          </w:p>
        </w:tc>
        <w:tc>
          <w:p>
            <w:pPr>
              <w:pStyle w:val="Compact"/>
              <w:jc w:val="left"/>
            </w:pPr>
            <w:r>
              <w:t xml:space="preserve">载明评审参加人、处置方式、责任部门、完成期限、验证结果</w:t>
            </w:r>
          </w:p>
        </w:tc>
        <w:tc>
          <w:p>
            <w:pPr>
              <w:pStyle w:val="Compact"/>
              <w:jc w:val="left"/>
            </w:pPr>
            <w:r>
              <w:t xml:space="preserve">质检部</w:t>
            </w:r>
          </w:p>
        </w:tc>
        <w:tc>
          <w:p>
            <w:pPr>
              <w:pStyle w:val="Compact"/>
              <w:jc w:val="left"/>
            </w:pPr>
            <w:r>
              <w:t xml:space="preserve">3 年</w:t>
            </w:r>
          </w:p>
        </w:tc>
      </w:tr>
      <w:tr>
        <w:tc>
          <w:p>
            <w:pPr>
              <w:pStyle w:val="Compact"/>
              <w:jc w:val="left"/>
            </w:pPr>
            <w:r>
              <w:t xml:space="preserve">QR-22-03</w:t>
            </w:r>
          </w:p>
        </w:tc>
        <w:tc>
          <w:p>
            <w:pPr>
              <w:pStyle w:val="Compact"/>
              <w:jc w:val="left"/>
            </w:pPr>
            <w:r>
              <w:t xml:space="preserve">不合格品台账</w:t>
            </w:r>
          </w:p>
        </w:tc>
        <w:tc>
          <w:p>
            <w:pPr>
              <w:pStyle w:val="Compact"/>
              <w:jc w:val="left"/>
            </w:pPr>
            <w:r>
              <w:t xml:space="preserve">逐项登记，含原因分类、处置方式、闭环状态</w:t>
            </w:r>
          </w:p>
        </w:tc>
        <w:tc>
          <w:p>
            <w:pPr>
              <w:pStyle w:val="Compact"/>
              <w:jc w:val="left"/>
            </w:pPr>
            <w:r>
              <w:t xml:space="preserve">质检部</w:t>
            </w:r>
          </w:p>
        </w:tc>
        <w:tc>
          <w:p>
            <w:pPr>
              <w:pStyle w:val="Compact"/>
              <w:jc w:val="left"/>
            </w:pPr>
            <w:r>
              <w:t xml:space="preserve">3 年</w:t>
            </w:r>
          </w:p>
        </w:tc>
      </w:tr>
      <w:tr>
        <w:tc>
          <w:p>
            <w:pPr>
              <w:pStyle w:val="Compact"/>
              <w:jc w:val="left"/>
            </w:pPr>
            <w:r>
              <w:t xml:space="preserve">QR-22-04</w:t>
            </w:r>
          </w:p>
        </w:tc>
        <w:tc>
          <w:p>
            <w:pPr>
              <w:pStyle w:val="Compact"/>
              <w:jc w:val="left"/>
            </w:pPr>
            <w:r>
              <w:t xml:space="preserve">返工/返修通知单</w:t>
            </w:r>
          </w:p>
        </w:tc>
        <w:tc>
          <w:p>
            <w:pPr>
              <w:pStyle w:val="Compact"/>
              <w:jc w:val="left"/>
            </w:pPr>
            <w:r>
              <w:t xml:space="preserve">含返工返修方案、实施人、重新检验结论</w:t>
            </w:r>
          </w:p>
        </w:tc>
        <w:tc>
          <w:p>
            <w:pPr>
              <w:pStyle w:val="Compact"/>
              <w:jc w:val="left"/>
            </w:pPr>
            <w:r>
              <w:t xml:space="preserve">质检部/生产部</w:t>
            </w:r>
          </w:p>
        </w:tc>
        <w:tc>
          <w:p>
            <w:pPr>
              <w:pStyle w:val="Compact"/>
              <w:jc w:val="left"/>
            </w:pPr>
            <w:r>
              <w:t xml:space="preserve">3 年</w:t>
            </w:r>
          </w:p>
        </w:tc>
      </w:tr>
      <w:tr>
        <w:tc>
          <w:p>
            <w:pPr>
              <w:pStyle w:val="Compact"/>
              <w:jc w:val="left"/>
            </w:pPr>
            <w:r>
              <w:t xml:space="preserve">QR-22-05</w:t>
            </w:r>
          </w:p>
        </w:tc>
        <w:tc>
          <w:p>
            <w:pPr>
              <w:pStyle w:val="Compact"/>
              <w:jc w:val="left"/>
            </w:pPr>
            <w:r>
              <w:t xml:space="preserve">让步接收申请/批准单</w:t>
            </w:r>
          </w:p>
        </w:tc>
        <w:tc>
          <w:p>
            <w:pPr>
              <w:pStyle w:val="Compact"/>
              <w:jc w:val="left"/>
            </w:pPr>
            <w:r>
              <w:t xml:space="preserve">含不符合内容、风险评估、批准人、顾客同意证据（适用时）</w:t>
            </w:r>
          </w:p>
        </w:tc>
        <w:tc>
          <w:p>
            <w:pPr>
              <w:pStyle w:val="Compact"/>
              <w:jc w:val="left"/>
            </w:pPr>
            <w:r>
              <w:t xml:space="preserve">质检部</w:t>
            </w:r>
          </w:p>
        </w:tc>
        <w:tc>
          <w:p>
            <w:pPr>
              <w:pStyle w:val="Compact"/>
              <w:jc w:val="left"/>
            </w:pPr>
            <w:r>
              <w:t xml:space="preserve">合同期+3 年</w:t>
            </w:r>
          </w:p>
        </w:tc>
      </w:tr>
      <w:tr>
        <w:tc>
          <w:p>
            <w:pPr>
              <w:pStyle w:val="Compact"/>
              <w:jc w:val="left"/>
            </w:pPr>
            <w:r>
              <w:t xml:space="preserve">QR-22-06</w:t>
            </w:r>
          </w:p>
        </w:tc>
        <w:tc>
          <w:p>
            <w:pPr>
              <w:pStyle w:val="Compact"/>
              <w:jc w:val="left"/>
            </w:pPr>
            <w:r>
              <w:t xml:space="preserve">报废申请单</w:t>
            </w:r>
          </w:p>
        </w:tc>
        <w:tc>
          <w:p>
            <w:pPr>
              <w:pStyle w:val="Compact"/>
              <w:jc w:val="left"/>
            </w:pPr>
            <w:r>
              <w:t xml:space="preserve">含报废原因、数量、审批意见、处置方式</w:t>
            </w:r>
          </w:p>
        </w:tc>
        <w:tc>
          <w:p>
            <w:pPr>
              <w:pStyle w:val="Compact"/>
              <w:jc w:val="left"/>
            </w:pPr>
            <w:r>
              <w:t xml:space="preserve">质检部/仓库</w:t>
            </w:r>
          </w:p>
        </w:tc>
        <w:tc>
          <w:p>
            <w:pPr>
              <w:pStyle w:val="Compact"/>
              <w:jc w:val="left"/>
            </w:pPr>
            <w:r>
              <w:t xml:space="preserve">3 年</w:t>
            </w:r>
          </w:p>
        </w:tc>
      </w:tr>
      <w:tr>
        <w:tc>
          <w:p>
            <w:pPr>
              <w:pStyle w:val="Compact"/>
              <w:jc w:val="left"/>
            </w:pPr>
            <w:r>
              <w:t xml:space="preserve">QR-22-07</w:t>
            </w:r>
          </w:p>
        </w:tc>
        <w:tc>
          <w:p>
            <w:pPr>
              <w:pStyle w:val="Compact"/>
              <w:jc w:val="left"/>
            </w:pPr>
            <w:r>
              <w:t xml:space="preserve">不合格品统计分析报告</w:t>
            </w:r>
          </w:p>
        </w:tc>
        <w:tc>
          <w:p>
            <w:pPr>
              <w:pStyle w:val="Compact"/>
              <w:jc w:val="left"/>
            </w:pPr>
            <w:r>
              <w:t xml:space="preserve">每月编制，含趋势、柏拉图分析、改进建议</w:t>
            </w:r>
          </w:p>
        </w:tc>
        <w:tc>
          <w:p>
            <w:pPr>
              <w:pStyle w:val="Compact"/>
              <w:jc w:val="left"/>
            </w:pPr>
            <w:r>
              <w:t xml:space="preserve">质检部</w:t>
            </w:r>
          </w:p>
        </w:tc>
        <w:tc>
          <w:p>
            <w:pPr>
              <w:pStyle w:val="Compact"/>
              <w:jc w:val="left"/>
            </w:pPr>
            <w:r>
              <w:t xml:space="preserve">3 年</w:t>
            </w:r>
          </w:p>
        </w:tc>
      </w:tr>
    </w:tbl>
    <w:p>
      <w:pPr>
        <w:pStyle w:val="Heading2"/>
      </w:pPr>
      <w:bookmarkStart w:id="35" w:name="六相关文件"/>
      <w:r>
        <w:t xml:space="preserve">六、相关文件</w:t>
      </w:r>
      <w:bookmarkEnd w:id="35"/>
    </w:p>
    <w:p>
      <w:pPr>
        <w:numPr>
          <w:ilvl w:val="0"/>
          <w:numId w:val="1003"/>
        </w:numPr>
        <w:pStyle w:val="Compact"/>
      </w:pPr>
      <w:r>
        <w:t xml:space="preserve">《质量手册》</w:t>
      </w:r>
    </w:p>
    <w:p>
      <w:pPr>
        <w:numPr>
          <w:ilvl w:val="0"/>
          <w:numId w:val="1003"/>
        </w:numPr>
        <w:pStyle w:val="Compact"/>
      </w:pPr>
      <w:r>
        <w:t xml:space="preserve">《产品放行控制程序》</w:t>
      </w:r>
    </w:p>
    <w:p>
      <w:pPr>
        <w:numPr>
          <w:ilvl w:val="0"/>
          <w:numId w:val="1003"/>
        </w:numPr>
        <w:pStyle w:val="Compact"/>
      </w:pPr>
      <w:r>
        <w:t xml:space="preserve">《不合格与纠正措施程序》</w:t>
      </w:r>
    </w:p>
    <w:p>
      <w:pPr>
        <w:numPr>
          <w:ilvl w:val="0"/>
          <w:numId w:val="1003"/>
        </w:numPr>
        <w:pStyle w:val="Compact"/>
      </w:pPr>
      <w:r>
        <w:t xml:space="preserve">《标识和可追溯性控制程序》</w:t>
      </w:r>
    </w:p>
    <w:p>
      <w:pPr>
        <w:numPr>
          <w:ilvl w:val="0"/>
          <w:numId w:val="1003"/>
        </w:numPr>
        <w:pStyle w:val="Compact"/>
      </w:pPr>
      <w:r>
        <w:t xml:space="preserve">《产品防护控制程序》</w:t>
      </w:r>
    </w:p>
    <w:p>
      <w:pPr>
        <w:numPr>
          <w:ilvl w:val="0"/>
          <w:numId w:val="1003"/>
        </w:numPr>
        <w:pStyle w:val="Compact"/>
      </w:pPr>
      <w:r>
        <w:t xml:space="preserve">《顾客财产控制程序》</w:t>
      </w:r>
    </w:p>
    <w:p>
      <w:pPr>
        <w:numPr>
          <w:ilvl w:val="0"/>
          <w:numId w:val="1003"/>
        </w:numPr>
        <w:pStyle w:val="Compact"/>
      </w:pPr>
      <w:r>
        <w:t xml:space="preserve">《采购与外部提供控制程序》</w:t>
      </w:r>
    </w:p>
    <w:p>
      <w:pPr>
        <w:numPr>
          <w:ilvl w:val="0"/>
          <w:numId w:val="1003"/>
        </w:numPr>
        <w:pStyle w:val="Compact"/>
      </w:pPr>
      <w:r>
        <w:t xml:space="preserve">《与顾客有关的过程控制程序》</w:t>
      </w:r>
    </w:p>
    <w:p>
      <w:pPr>
        <w:numPr>
          <w:ilvl w:val="0"/>
          <w:numId w:val="1003"/>
        </w:numPr>
        <w:pStyle w:val="Compact"/>
      </w:pPr>
      <w:r>
        <w:t xml:space="preserve">《文件控制程序》</w:t>
      </w:r>
    </w:p>
    <w:p>
      <w:pPr>
        <w:numPr>
          <w:ilvl w:val="0"/>
          <w:numId w:val="1003"/>
        </w:numPr>
        <w:pStyle w:val="Compact"/>
      </w:pPr>
      <w:r>
        <w:t xml:space="preserve">《记录控制程序》</w:t>
      </w:r>
    </w:p>
    <w:p>
      <w:pPr>
        <w:pStyle w:val="Heading2"/>
      </w:pPr>
      <w:bookmarkStart w:id="36" w:name="使用说明"/>
      <w:r>
        <w:t xml:space="preserve">使用说明</w:t>
      </w:r>
      <w:bookmarkEnd w:id="36"/>
    </w:p>
    <w:p>
      <w:pPr>
        <w:pStyle w:val="FirstParagraph"/>
      </w:pPr>
      <w:r>
        <w:rPr>
          <w:b/>
        </w:rPr>
        <w:t xml:space="preserve">一、如何按企业实际修改</w:t>
      </w:r>
    </w:p>
    <w:p>
      <w:pPr>
        <w:numPr>
          <w:ilvl w:val="0"/>
          <w:numId w:val="1004"/>
        </w:numPr>
        <w:pStyle w:val="Compact"/>
      </w:pPr>
      <w:r>
        <w:rPr>
          <w:b/>
        </w:rPr>
        <w:t xml:space="preserve">评审分级适配</w:t>
      </w:r>
      <w:r>
        <w:t xml:space="preserve">：小企业可将评审权集中到质检负责人一人，取消评审组环节，只需保留</w:t>
      </w:r>
      <w:r>
        <w:t xml:space="preserve">“</w:t>
      </w:r>
      <w:r>
        <w:t xml:space="preserve">重大不合格报总经理</w:t>
      </w:r>
      <w:r>
        <w:t xml:space="preserve">”</w:t>
      </w:r>
      <w:r>
        <w:t xml:space="preserve">的底线；大企业可进一步细分——按产品线设评审组，或按不合格金额、批量大小设定分级阈值。分级标准建议量化（如批量超过 X 件或涉及关键特性即为重要不合格），减少人为判断争议。</w:t>
      </w:r>
    </w:p>
    <w:p>
      <w:pPr>
        <w:numPr>
          <w:ilvl w:val="0"/>
          <w:numId w:val="1004"/>
        </w:numPr>
        <w:pStyle w:val="Compact"/>
      </w:pPr>
      <w:r>
        <w:rPr>
          <w:b/>
        </w:rPr>
        <w:t xml:space="preserve">处置方式裁剪</w:t>
      </w:r>
      <w:r>
        <w:t xml:space="preserve">：无降级使用场景的企业（如食品、药品行业）可删除该处置方式并明确</w:t>
      </w:r>
      <w:r>
        <w:t xml:space="preserve">“</w:t>
      </w:r>
      <w:r>
        <w:t xml:space="preserve">不合格品一律不得降级使用</w:t>
      </w:r>
      <w:r>
        <w:t xml:space="preserve">”</w:t>
      </w:r>
      <w:r>
        <w:t xml:space="preserve">；服务型企业可将</w:t>
      </w:r>
      <w:r>
        <w:t xml:space="preserve">“</w:t>
      </w:r>
      <w:r>
        <w:t xml:space="preserve">返工/返修</w:t>
      </w:r>
      <w:r>
        <w:t xml:space="preserve">”</w:t>
      </w:r>
      <w:r>
        <w:t xml:space="preserve">转化为</w:t>
      </w:r>
      <w:r>
        <w:t xml:space="preserve">“</w:t>
      </w:r>
      <w:r>
        <w:t xml:space="preserve">重新提供服务/更正差错</w:t>
      </w:r>
      <w:r>
        <w:t xml:space="preserve">”</w:t>
      </w:r>
      <w:r>
        <w:t xml:space="preserve">，将</w:t>
      </w:r>
      <w:r>
        <w:t xml:space="preserve">“</w:t>
      </w:r>
      <w:r>
        <w:t xml:space="preserve">报废</w:t>
      </w:r>
      <w:r>
        <w:t xml:space="preserve">”</w:t>
      </w:r>
      <w:r>
        <w:t xml:space="preserve">转化为</w:t>
      </w:r>
      <w:r>
        <w:t xml:space="preserve">“</w:t>
      </w:r>
      <w:r>
        <w:t xml:space="preserve">终止服务并致歉补偿</w:t>
      </w:r>
      <w:r>
        <w:t xml:space="preserve">”</w:t>
      </w:r>
      <w:r>
        <w:t xml:space="preserve">，并增加服务补救时限要求（如 24 小时内响应）。</w:t>
      </w:r>
    </w:p>
    <w:p>
      <w:pPr>
        <w:numPr>
          <w:ilvl w:val="0"/>
          <w:numId w:val="1004"/>
        </w:numPr>
        <w:pStyle w:val="Compact"/>
      </w:pPr>
      <w:r>
        <w:rPr>
          <w:b/>
        </w:rPr>
        <w:t xml:space="preserve">行业特殊要求</w:t>
      </w:r>
      <w:r>
        <w:t xml:space="preserve">：食品、药品、医疗器械等行业除本程序外，还须满足行业法规对不合格品（如召回、销毁）的专门规定，建议在 4.5 中增加法规接口条款，并明确向监管部门报告的情形与时限。</w:t>
      </w:r>
    </w:p>
    <w:p>
      <w:pPr>
        <w:numPr>
          <w:ilvl w:val="0"/>
          <w:numId w:val="1004"/>
        </w:numPr>
        <w:pStyle w:val="Compact"/>
      </w:pPr>
      <w:r>
        <w:rPr>
          <w:b/>
        </w:rPr>
        <w:t xml:space="preserve">表单编号调整</w:t>
      </w:r>
      <w:r>
        <w:t xml:space="preserve">：记录编号 QR-22-XX 按本公司编号规则修改，并同步登记到《记录清单》中；表格中的部门名称请替换为本公司实际部门设置。</w:t>
      </w:r>
    </w:p>
    <w:p>
      <w:pPr>
        <w:pStyle w:val="FirstParagraph"/>
      </w:pPr>
      <w:r>
        <w:rPr>
          <w:b/>
        </w:rPr>
        <w:t xml:space="preserve">二、审核关注点（外审必查项）</w:t>
      </w:r>
    </w:p>
    <w:p>
      <w:pPr>
        <w:numPr>
          <w:ilvl w:val="0"/>
          <w:numId w:val="1005"/>
        </w:numPr>
        <w:pStyle w:val="Compact"/>
      </w:pPr>
      <w:r>
        <w:rPr>
          <w:b/>
        </w:rPr>
        <w:t xml:space="preserve">标识与隔离有效性</w:t>
      </w:r>
      <w:r>
        <w:t xml:space="preserve">：审核员会现场查看不合格品区是否独立设置、标识是否清晰、有无合格品与不合格品混放。这是 8.7 最常见的现场不符合项，请确保物理隔离真实存在。</w:t>
      </w:r>
    </w:p>
    <w:p>
      <w:pPr>
        <w:numPr>
          <w:ilvl w:val="0"/>
          <w:numId w:val="1005"/>
        </w:numPr>
        <w:pStyle w:val="Compact"/>
      </w:pPr>
      <w:r>
        <w:rPr>
          <w:b/>
        </w:rPr>
        <w:t xml:space="preserve">处置记录闭环</w:t>
      </w:r>
      <w:r>
        <w:t xml:space="preserve">：审核员会抽取不合格品报告单，倒查评审记录、处置结果、重新检验记录是否齐全，确认</w:t>
      </w:r>
      <w:r>
        <w:t xml:space="preserve">“</w:t>
      </w:r>
      <w:r>
        <w:t xml:space="preserve">申报—评审—处置—验证</w:t>
      </w:r>
      <w:r>
        <w:t xml:space="preserve">”</w:t>
      </w:r>
      <w:r>
        <w:t xml:space="preserve">全链条闭环。只有报告单没有处置结果属于典型不符合。</w:t>
      </w:r>
    </w:p>
    <w:p>
      <w:pPr>
        <w:numPr>
          <w:ilvl w:val="0"/>
          <w:numId w:val="1005"/>
        </w:numPr>
        <w:pStyle w:val="Compact"/>
      </w:pPr>
      <w:r>
        <w:rPr>
          <w:b/>
        </w:rPr>
        <w:t xml:space="preserve">让步接收的授权与顾客同意</w:t>
      </w:r>
      <w:r>
        <w:t xml:space="preserve">：审核员会查验让步接收是否有授权人批准、涉及顾客要求的是否有顾客书面同意证据，无记录会被开不符合项。</w:t>
      </w:r>
    </w:p>
    <w:p>
      <w:pPr>
        <w:numPr>
          <w:ilvl w:val="0"/>
          <w:numId w:val="1005"/>
        </w:numPr>
        <w:pStyle w:val="Compact"/>
      </w:pPr>
      <w:r>
        <w:rPr>
          <w:b/>
        </w:rPr>
        <w:t xml:space="preserve">返工返修后的重新验证</w:t>
      </w:r>
      <w:r>
        <w:t xml:space="preserve">：审核员会检查返工、返修产品是否按规定重新检验并保留记录，仅口头确认合格无记录不符合要求。</w:t>
      </w:r>
    </w:p>
    <w:p>
      <w:pPr>
        <w:numPr>
          <w:ilvl w:val="0"/>
          <w:numId w:val="1005"/>
        </w:numPr>
        <w:pStyle w:val="Compact"/>
      </w:pPr>
      <w:r>
        <w:rPr>
          <w:b/>
        </w:rPr>
        <w:t xml:space="preserve">与 10.2 的接口</w:t>
      </w:r>
      <w:r>
        <w:t xml:space="preserve">：审核员会核查批量性、重复性不合格是否启动了纠正措施，是否有原因分析和有效性验证。只处置不分析会被判定体系未形成改进闭环。</w:t>
      </w:r>
    </w:p>
    <w:p>
      <w:pPr>
        <w:numPr>
          <w:ilvl w:val="0"/>
          <w:numId w:val="1005"/>
        </w:numPr>
        <w:pStyle w:val="Compact"/>
      </w:pPr>
      <w:r>
        <w:rPr>
          <w:b/>
        </w:rPr>
        <w:t xml:space="preserve">顾客财产不合格的报告</w:t>
      </w:r>
      <w:r>
        <w:t xml:space="preserve">：审核员会检查顾客财产发现不合格时是否及时通知顾客并有沟通记录。</w:t>
      </w:r>
    </w:p>
    <w:p>
      <w:pPr>
        <w:pStyle w:val="FirstParagraph"/>
      </w:pPr>
      <w:r>
        <w:rPr>
          <w:b/>
        </w:rPr>
        <w:t xml:space="preserve">三、常见错误</w:t>
      </w:r>
    </w:p>
    <w:p>
      <w:pPr>
        <w:numPr>
          <w:ilvl w:val="0"/>
          <w:numId w:val="1006"/>
        </w:numPr>
        <w:pStyle w:val="Compact"/>
      </w:pPr>
      <w:r>
        <w:rPr>
          <w:b/>
        </w:rPr>
        <w:t xml:space="preserve">重处置、轻标识</w:t>
      </w:r>
      <w:r>
        <w:t xml:space="preserve">：不合格品处置记录齐全，但现场标识缺失或随意，导致误用风险。标识是控制的第一道防线，务必与实物同步。</w:t>
      </w:r>
    </w:p>
    <w:p>
      <w:pPr>
        <w:numPr>
          <w:ilvl w:val="0"/>
          <w:numId w:val="1006"/>
        </w:numPr>
        <w:pStyle w:val="Compact"/>
      </w:pPr>
      <w:r>
        <w:rPr>
          <w:b/>
        </w:rPr>
        <w:t xml:space="preserve">隔离形同虚设</w:t>
      </w:r>
      <w:r>
        <w:t xml:space="preserve">：不合格品区与待检区、合格区界限不清，或仓库图省事把不合格品与合格品同架存放。应把</w:t>
      </w:r>
      <w:r>
        <w:t xml:space="preserve">“</w:t>
      </w:r>
      <w:r>
        <w:t xml:space="preserve">不合格品必须入红区</w:t>
      </w:r>
      <w:r>
        <w:t xml:space="preserve">”</w:t>
      </w:r>
      <w:r>
        <w:t xml:space="preserve">写入仓库作业要求并定期检查。</w:t>
      </w:r>
    </w:p>
    <w:p>
      <w:pPr>
        <w:numPr>
          <w:ilvl w:val="0"/>
          <w:numId w:val="1006"/>
        </w:numPr>
        <w:pStyle w:val="Compact"/>
      </w:pPr>
      <w:r>
        <w:rPr>
          <w:b/>
        </w:rPr>
        <w:t xml:space="preserve">让步接收滥用</w:t>
      </w:r>
      <w:r>
        <w:t xml:space="preserve">：把让步接收当常规通道，频繁对同一问题让步，甚至对安全、法规相关特性让步。应限定让步接收的适用条件，对同一不合格项的重复让步自动升级为纠正措施。</w:t>
      </w:r>
    </w:p>
    <w:p>
      <w:pPr>
        <w:numPr>
          <w:ilvl w:val="0"/>
          <w:numId w:val="1006"/>
        </w:numPr>
        <w:pStyle w:val="Compact"/>
      </w:pPr>
      <w:r>
        <w:rPr>
          <w:b/>
        </w:rPr>
        <w:t xml:space="preserve">返工返修无方案</w:t>
      </w:r>
      <w:r>
        <w:t xml:space="preserve">：返工凭经验操作，无工艺方案、无重新检验准则，返工后是否合格全凭感觉。应明确</w:t>
      </w:r>
      <w:r>
        <w:t xml:space="preserve">“</w:t>
      </w:r>
      <w:r>
        <w:t xml:space="preserve">先有方案、再实施、后验证</w:t>
      </w:r>
      <w:r>
        <w:t xml:space="preserve">”</w:t>
      </w:r>
      <w:r>
        <w:t xml:space="preserve">的要求。</w:t>
      </w:r>
    </w:p>
    <w:p>
      <w:pPr>
        <w:numPr>
          <w:ilvl w:val="0"/>
          <w:numId w:val="1006"/>
        </w:numPr>
        <w:pStyle w:val="Compact"/>
      </w:pPr>
      <w:r>
        <w:rPr>
          <w:b/>
        </w:rPr>
        <w:t xml:space="preserve">台账与实物脱节</w:t>
      </w:r>
      <w:r>
        <w:t xml:space="preserve">：台账登记滞后、数量与实际不符，统计分析失真。应要求不合格品信息当日登记，月度盘点核对。</w:t>
      </w:r>
    </w:p>
    <w:p>
      <w:pPr>
        <w:numPr>
          <w:ilvl w:val="0"/>
          <w:numId w:val="1006"/>
        </w:numPr>
        <w:pStyle w:val="Compact"/>
      </w:pPr>
      <w:r>
        <w:rPr>
          <w:b/>
        </w:rPr>
        <w:t xml:space="preserve">只处置不改进</w:t>
      </w:r>
      <w:r>
        <w:t xml:space="preserve">：不合格品反复出现但从不分析原因、不采取纠正措施，体系停留在</w:t>
      </w:r>
      <w:r>
        <w:t xml:space="preserve">“</w:t>
      </w:r>
      <w:r>
        <w:t xml:space="preserve">救火</w:t>
      </w:r>
      <w:r>
        <w:t xml:space="preserve">”</w:t>
      </w:r>
      <w:r>
        <w:t xml:space="preserve">状态。应把重复发生作为启动纠正措施的强制触发条件。</w:t>
      </w:r>
    </w:p>
    <w:p>
      <w:r>
        <w:pict>
          <v:rect style="width:0;height:1.5pt" o:hralign="center" o:hrstd="t" o:hr="t"/>
        </w:pict>
      </w:r>
    </w:p>
    <w:p>
      <w:pPr>
        <w:pStyle w:val="BlockText"/>
      </w:pPr>
      <w:r>
        <w:t xml:space="preserve">标识隔离防误用，评审处置全闭环</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2026-09-12T10:35:35Z</dcterms:created>
  <dcterms:modified xsi:type="dcterms:W3CDTF">2026-09-12T10:35:35Z</dcterms:modified>
</cp:coreProperties>
</file>

<file path=docProps/custom.xml><?xml version="1.0" encoding="utf-8"?>
<Properties xmlns="http://schemas.openxmlformats.org/officeDocument/2006/custom-properties" xmlns:vt="http://schemas.openxmlformats.org/officeDocument/2006/docPropsVTypes"/>
</file>