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Heading1"/>
      </w:pPr>
      <w:bookmarkStart w:id="20" w:name="iso9001体系文件套包24数据分析与评价程序9.1.3"/>
      <w:r>
        <w:t xml:space="preserve">ISO9001体系文件套包（24）｜数据分析与评价程序（9.1.3）</w:t>
      </w:r>
      <w:bookmarkEnd w:id="20"/>
    </w:p>
    <w:p>
      <w:pPr>
        <w:pStyle w:val="BlockText"/>
      </w:pPr>
      <w:r>
        <w:rPr>
          <w:b/>
        </w:rPr>
        <w:t xml:space="preserve">文件说明</w:t>
      </w:r>
      <w:r>
        <w:t xml:space="preserve">：本程序对应 ISO 9001:2015 标准条款 9.1.3</w:t>
      </w:r>
      <w:r>
        <w:t xml:space="preserve">“</w:t>
      </w:r>
      <w:r>
        <w:t xml:space="preserve">数据分析与评价</w:t>
      </w:r>
      <w:r>
        <w:t xml:space="preserve">”</w:t>
      </w:r>
      <w:r>
        <w:t xml:space="preserve">，是质量管理体系</w:t>
      </w:r>
      <w:r>
        <w:t xml:space="preserve">“</w:t>
      </w:r>
      <w:r>
        <w:t xml:space="preserve">绩效评价</w:t>
      </w:r>
      <w:r>
        <w:t xml:space="preserve">”</w:t>
      </w:r>
      <w:r>
        <w:t xml:space="preserve">板块的枢纽性程序。它的作用在于把散布在检验记录、投诉台账、过程监控、供方评价、内审报告中的零散数据，转化为可判定体系绩效与趋势的管理信息：通过明确</w:t>
      </w:r>
      <w:r>
        <w:t xml:space="preserve">“</w:t>
      </w:r>
      <w:r>
        <w:t xml:space="preserve">收集什么数据、谁来分析、用什么方法、得出什么结论、结论用到哪里</w:t>
      </w:r>
      <w:r>
        <w:t xml:space="preserve">”</w:t>
      </w:r>
      <w:r>
        <w:t xml:space="preserve">，让数据真正为改进决策服务。9.1.3 是认证审核中与 9.1.2、9.2、9.3 联动抽查的条款，审核员常验证</w:t>
      </w:r>
      <w:r>
        <w:t xml:space="preserve">“</w:t>
      </w:r>
      <w:r>
        <w:t xml:space="preserve">是否分析了数据、分析结果是否进入管理评审、是否产生了改进措施</w:t>
      </w:r>
      <w:r>
        <w:t xml:space="preserve">”</w:t>
      </w:r>
      <w:r>
        <w:t xml:space="preserve">。本程序适用于各类制造与服务企业，尤其适合已积累一定检验与经营数据、但分析停留在</w:t>
      </w:r>
      <w:r>
        <w:t xml:space="preserve">“</w:t>
      </w:r>
      <w:r>
        <w:t xml:space="preserve">统计合格率</w:t>
      </w:r>
      <w:r>
        <w:t xml:space="preserve">”</w:t>
      </w:r>
      <w:r>
        <w:t xml:space="preserve">层面的中小企业，可直接套用并按规模裁剪。</w:t>
      </w:r>
    </w:p>
    <w:p>
      <w:pPr>
        <w:pStyle w:val="Heading2"/>
      </w:pPr>
      <w:bookmarkStart w:id="21" w:name="一目的"/>
      <w:r>
        <w:t xml:space="preserve">一、目的</w:t>
      </w:r>
      <w:bookmarkEnd w:id="21"/>
    </w:p>
    <w:p>
      <w:pPr>
        <w:pStyle w:val="FirstParagraph"/>
      </w:pPr>
      <w:r>
        <w:t xml:space="preserve">规范本公司数据分析与评价工作的范围、职责、方法与流程，对质量管理体系运行过程中产生的各类数据进行系统收集、科学分析和客观评价，以证实产品质量、过程能力与体系绩效的符合性和有效性，识别质量趋势、潜在风险与改进机会，为纠正措施、管理评审和战略决策提供数据支撑，持续提升质量管理体系的有效性。</w:t>
      </w:r>
    </w:p>
    <w:p>
      <w:pPr>
        <w:pStyle w:val="Heading2"/>
      </w:pPr>
      <w:bookmarkStart w:id="22" w:name="二适用范围"/>
      <w:r>
        <w:t xml:space="preserve">二、适用范围</w:t>
      </w:r>
      <w:bookmarkEnd w:id="22"/>
    </w:p>
    <w:p>
      <w:pPr>
        <w:pStyle w:val="FirstParagraph"/>
      </w:pPr>
      <w:r>
        <w:t xml:space="preserve">适用于本公司质量管理体系运行相关的全部数据的收集、分析、评价与应用，主要包括以下四类数据：</w:t>
      </w:r>
    </w:p>
    <w:p>
      <w:pPr>
        <w:numPr>
          <w:ilvl w:val="0"/>
          <w:numId w:val="1001"/>
        </w:numPr>
        <w:pStyle w:val="Compact"/>
      </w:pPr>
      <w:r>
        <w:t xml:space="preserve">顾客满意与反馈数据（满意度调查结果、投诉与退货数据、顾客流失情况）；</w:t>
      </w:r>
    </w:p>
    <w:p>
      <w:pPr>
        <w:numPr>
          <w:ilvl w:val="0"/>
          <w:numId w:val="1001"/>
        </w:numPr>
        <w:pStyle w:val="Compact"/>
      </w:pPr>
      <w:r>
        <w:t xml:space="preserve">产品和服务符合性数据（进货/过程/成品检验数据、不合格品数据、交付质量数据）；</w:t>
      </w:r>
    </w:p>
    <w:p>
      <w:pPr>
        <w:numPr>
          <w:ilvl w:val="0"/>
          <w:numId w:val="1001"/>
        </w:numPr>
        <w:pStyle w:val="Compact"/>
      </w:pPr>
      <w:r>
        <w:t xml:space="preserve">过程和体系的特性及趋势数据（过程目标达成情况、过程能力、内审不符合项、纠正措施关闭情况、供方绩效）；</w:t>
      </w:r>
    </w:p>
    <w:p>
      <w:pPr>
        <w:numPr>
          <w:ilvl w:val="0"/>
          <w:numId w:val="1001"/>
        </w:numPr>
        <w:pStyle w:val="Compact"/>
      </w:pPr>
      <w:r>
        <w:t xml:space="preserve">相关方绩效数据（供方交付与质量表现、外部审核结果、市场环境变化信息）。</w:t>
      </w:r>
    </w:p>
    <w:p>
      <w:pPr>
        <w:pStyle w:val="FirstParagraph"/>
      </w:pPr>
      <w:r>
        <w:t xml:space="preserve">对外部来源数据（法律法规变化、行业对标数据、市场信息）的引用与分析，亦适用本程序。</w:t>
      </w:r>
    </w:p>
    <w:p>
      <w:pPr>
        <w:pStyle w:val="Heading2"/>
      </w:pPr>
      <w:bookmarkStart w:id="23" w:name="三职责"/>
      <w:r>
        <w:t xml:space="preserve">三、职责</w:t>
      </w:r>
      <w:bookmarkEnd w:id="23"/>
    </w:p>
    <w:tbl>
      <w:tblPr>
        <w:tblStyle w:val="Table"/>
        <w:tblW w:type="pct" w:w="0.0"/>
        <w:tblLook w:firstRow="1"/>
      </w:tblPr>
      <w:tblGrid/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责任部门/岗位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职责内容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品质部</w:t>
            </w:r>
          </w:p>
        </w:tc>
        <w:tc>
          <w:p>
            <w:pPr>
              <w:pStyle w:val="Compact"/>
              <w:jc w:val="left"/>
            </w:pPr>
            <w:r>
              <w:t xml:space="preserve">归口管理数据分析工作；编制年度数据分析计划；组织数据汇总与统计分析；编制《数据分析报告》；跟踪分析结论所对应的改进措施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各业务部门（生产、销售、采购、技术等）</w:t>
            </w:r>
          </w:p>
        </w:tc>
        <w:tc>
          <w:p>
            <w:pPr>
              <w:pStyle w:val="Compact"/>
              <w:jc w:val="left"/>
            </w:pPr>
            <w:r>
              <w:t xml:space="preserve">按分工收集、记录、报送本部门相关数据；对涉及本部门的分析结论制定并落实改进措施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销售部/客服部</w:t>
            </w:r>
          </w:p>
        </w:tc>
        <w:tc>
          <w:p>
            <w:pPr>
              <w:pStyle w:val="Compact"/>
              <w:jc w:val="left"/>
            </w:pPr>
            <w:r>
              <w:t xml:space="preserve">提供顾客满意、投诉、退货、市场反馈等数据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采购部</w:t>
            </w:r>
          </w:p>
        </w:tc>
        <w:tc>
          <w:p>
            <w:pPr>
              <w:pStyle w:val="Compact"/>
              <w:jc w:val="left"/>
            </w:pPr>
            <w:r>
              <w:t xml:space="preserve">提供供方交付及时率、来料合格率、供方评价等数据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生产部/车间</w:t>
            </w:r>
          </w:p>
        </w:tc>
        <w:tc>
          <w:p>
            <w:pPr>
              <w:pStyle w:val="Compact"/>
              <w:jc w:val="left"/>
            </w:pPr>
            <w:r>
              <w:t xml:space="preserve">提供过程检验、设备运行、生产达成等数据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管理者代表</w:t>
            </w:r>
          </w:p>
        </w:tc>
        <w:tc>
          <w:p>
            <w:pPr>
              <w:pStyle w:val="Compact"/>
              <w:jc w:val="left"/>
            </w:pPr>
            <w:r>
              <w:t xml:space="preserve">审核数据分析计划与报告；组织专题分析会议；协调跨部门改进事项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总经理</w:t>
            </w:r>
          </w:p>
        </w:tc>
        <w:tc>
          <w:p>
            <w:pPr>
              <w:pStyle w:val="Compact"/>
              <w:jc w:val="left"/>
            </w:pPr>
            <w:r>
              <w:t xml:space="preserve">主持管理评审，审议数据分析结论与重大改进决策；批准资源投入</w:t>
            </w:r>
          </w:p>
        </w:tc>
      </w:tr>
    </w:tbl>
    <w:p>
      <w:pPr>
        <w:pStyle w:val="Heading2"/>
      </w:pPr>
      <w:bookmarkStart w:id="24" w:name="四工作程序"/>
      <w:r>
        <w:t xml:space="preserve">四、工作程序</w:t>
      </w:r>
      <w:bookmarkEnd w:id="24"/>
    </w:p>
    <w:p>
      <w:pPr>
        <w:pStyle w:val="Heading3"/>
      </w:pPr>
      <w:bookmarkStart w:id="25" w:name="数据来源与分类"/>
      <w:r>
        <w:t xml:space="preserve">4.1 数据来源与分类</w:t>
      </w:r>
      <w:bookmarkEnd w:id="25"/>
    </w:p>
    <w:p>
      <w:pPr>
        <w:pStyle w:val="FirstParagraph"/>
      </w:pPr>
      <w:r>
        <w:t xml:space="preserve">4.1.1 本公司按数据性质将分析对象分为以下六类，各部门按《质量记录清单》规定的记录载体收集原始数据：</w:t>
      </w:r>
    </w:p>
    <w:p>
      <w:pPr>
        <w:numPr>
          <w:ilvl w:val="0"/>
          <w:numId w:val="1002"/>
        </w:numPr>
        <w:pStyle w:val="Compact"/>
      </w:pPr>
      <w:r>
        <w:rPr>
          <w:b/>
        </w:rPr>
        <w:t xml:space="preserve">顾客满意类</w:t>
      </w:r>
      <w:r>
        <w:t xml:space="preserve">：满意度调查得分、投诉次数与分类、退货/换货数量、订单流失与复购情况；</w:t>
      </w:r>
    </w:p>
    <w:p>
      <w:pPr>
        <w:numPr>
          <w:ilvl w:val="0"/>
          <w:numId w:val="1002"/>
        </w:numPr>
        <w:pStyle w:val="Compact"/>
      </w:pPr>
      <w:r>
        <w:rPr>
          <w:b/>
        </w:rPr>
        <w:t xml:space="preserve">产品质量类</w:t>
      </w:r>
      <w:r>
        <w:t xml:space="preserve">：进货检验合格率、过程检验合格率（一次合格率）、成品检验合格率、出厂抽检数据、客户验货结果；</w:t>
      </w:r>
    </w:p>
    <w:p>
      <w:pPr>
        <w:numPr>
          <w:ilvl w:val="0"/>
          <w:numId w:val="1002"/>
        </w:numPr>
        <w:pStyle w:val="Compact"/>
      </w:pPr>
      <w:r>
        <w:rPr>
          <w:b/>
        </w:rPr>
        <w:t xml:space="preserve">过程绩效类</w:t>
      </w:r>
      <w:r>
        <w:t xml:space="preserve">：质量目标达成率、生产计划达成率、设备故障停机时间、交付及时率、一次交验合格率；</w:t>
      </w:r>
    </w:p>
    <w:p>
      <w:pPr>
        <w:numPr>
          <w:ilvl w:val="0"/>
          <w:numId w:val="1002"/>
        </w:numPr>
        <w:pStyle w:val="Compact"/>
      </w:pPr>
      <w:r>
        <w:rPr>
          <w:b/>
        </w:rPr>
        <w:t xml:space="preserve">体系运行类</w:t>
      </w:r>
      <w:r>
        <w:t xml:space="preserve">：内审不符合项数量与分布、纠正措施按期关闭率、管理评审决议落实率、外部审核发现；</w:t>
      </w:r>
    </w:p>
    <w:p>
      <w:pPr>
        <w:numPr>
          <w:ilvl w:val="0"/>
          <w:numId w:val="1002"/>
        </w:numPr>
        <w:pStyle w:val="Compact"/>
      </w:pPr>
      <w:r>
        <w:rPr>
          <w:b/>
        </w:rPr>
        <w:t xml:space="preserve">供方绩效类</w:t>
      </w:r>
      <w:r>
        <w:t xml:space="preserve">：来料批次合格率、供方交付及时率、供方质量事故次数、供方年度评价得分；</w:t>
      </w:r>
    </w:p>
    <w:p>
      <w:pPr>
        <w:numPr>
          <w:ilvl w:val="0"/>
          <w:numId w:val="1002"/>
        </w:numPr>
        <w:pStyle w:val="Compact"/>
      </w:pPr>
      <w:r>
        <w:rPr>
          <w:b/>
        </w:rPr>
        <w:t xml:space="preserve">外部环境类</w:t>
      </w:r>
      <w:r>
        <w:t xml:space="preserve">：适用的法律法规变化、行业质量水平对标、顾客群体与市场变化信息。</w:t>
      </w:r>
    </w:p>
    <w:p>
      <w:pPr>
        <w:pStyle w:val="FirstParagraph"/>
      </w:pPr>
      <w:r>
        <w:t xml:space="preserve">4.1.2 各部门应保证原始数据的真实性、完整性与可追溯性，记录填写按《记录控制程序》执行，禁止事后补造、涂改数据。</w:t>
      </w:r>
    </w:p>
    <w:p>
      <w:pPr>
        <w:pStyle w:val="Heading3"/>
      </w:pPr>
      <w:bookmarkStart w:id="26" w:name="数据收集与汇总"/>
      <w:r>
        <w:t xml:space="preserve">4.2 数据收集与汇总</w:t>
      </w:r>
      <w:bookmarkEnd w:id="26"/>
    </w:p>
    <w:p>
      <w:pPr>
        <w:pStyle w:val="FirstParagraph"/>
      </w:pPr>
      <w:r>
        <w:t xml:space="preserve">4.2.1 品质部每年 1 月编制《年度数据分析计划》，明确各类数据的责任部门、报送频次、分析方法与用途，报管理者代表批准后实施。</w:t>
      </w:r>
    </w:p>
    <w:p>
      <w:pPr>
        <w:pStyle w:val="BodyText"/>
      </w:pPr>
      <w:r>
        <w:t xml:space="preserve">4.2.2 数据报送频次规定如下：</w:t>
      </w:r>
    </w:p>
    <w:p>
      <w:pPr>
        <w:numPr>
          <w:ilvl w:val="0"/>
          <w:numId w:val="1003"/>
        </w:numPr>
        <w:pStyle w:val="Compact"/>
      </w:pPr>
      <w:r>
        <w:t xml:space="preserve">产品质量类数据：每月 5 日前报送上月汇总数据；</w:t>
      </w:r>
    </w:p>
    <w:p>
      <w:pPr>
        <w:numPr>
          <w:ilvl w:val="0"/>
          <w:numId w:val="1003"/>
        </w:numPr>
        <w:pStyle w:val="Compact"/>
      </w:pPr>
      <w:r>
        <w:t xml:space="preserve">顾客满意类数据：满意度调查结束后 10 个工作日内报送；投诉退货数据每月报送；</w:t>
      </w:r>
    </w:p>
    <w:p>
      <w:pPr>
        <w:numPr>
          <w:ilvl w:val="0"/>
          <w:numId w:val="1003"/>
        </w:numPr>
        <w:pStyle w:val="Compact"/>
      </w:pPr>
      <w:r>
        <w:t xml:space="preserve">过程绩效类与供方绩效类数据：每月 5 日前报送；</w:t>
      </w:r>
    </w:p>
    <w:p>
      <w:pPr>
        <w:numPr>
          <w:ilvl w:val="0"/>
          <w:numId w:val="1003"/>
        </w:numPr>
        <w:pStyle w:val="Compact"/>
      </w:pPr>
      <w:r>
        <w:t xml:space="preserve">体系运行类数据：内审、管理评审、外部审核结束后 5 个工作日内报送；</w:t>
      </w:r>
    </w:p>
    <w:p>
      <w:pPr>
        <w:numPr>
          <w:ilvl w:val="0"/>
          <w:numId w:val="1003"/>
        </w:numPr>
        <w:pStyle w:val="Compact"/>
      </w:pPr>
      <w:r>
        <w:t xml:space="preserve">外部环境类信息：识别到变化时随时报送。</w:t>
      </w:r>
    </w:p>
    <w:p>
      <w:pPr>
        <w:pStyle w:val="FirstParagraph"/>
      </w:pPr>
      <w:r>
        <w:t xml:space="preserve">4.2.3 品质部对各部门报送的数据进行完整性核查，数据缺失或明显异常的，退回补充并记录；月度数据汇总填入《质量数据汇总台账》，作为分析的基础数据源。</w:t>
      </w:r>
    </w:p>
    <w:p>
      <w:pPr>
        <w:pStyle w:val="Heading3"/>
      </w:pPr>
      <w:bookmarkStart w:id="27" w:name="数据分析方法"/>
      <w:r>
        <w:t xml:space="preserve">4.3 数据分析方法</w:t>
      </w:r>
      <w:bookmarkEnd w:id="27"/>
    </w:p>
    <w:p>
      <w:pPr>
        <w:pStyle w:val="FirstParagraph"/>
      </w:pPr>
      <w:r>
        <w:t xml:space="preserve">4.3.1 本公司根据数据类别与分析目的选用适宜的统计技术，常用方法及适用场景如下表：</w:t>
      </w:r>
    </w:p>
    <w:tbl>
      <w:tblPr>
        <w:tblStyle w:val="Table"/>
        <w:tblW w:type="pct" w:w="0.0"/>
        <w:tblLook w:firstRow="1"/>
      </w:tblPr>
      <w:tblGrid/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分析方法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适用场景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输出形式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排列图（柏拉图）</w:t>
            </w:r>
          </w:p>
        </w:tc>
        <w:tc>
          <w:p>
            <w:pPr>
              <w:pStyle w:val="Compact"/>
              <w:jc w:val="left"/>
            </w:pPr>
            <w:r>
              <w:t xml:space="preserve">找出不合格、投诉、故障的主要原因（80/20 分析）</w:t>
            </w:r>
          </w:p>
        </w:tc>
        <w:tc>
          <w:p>
            <w:pPr>
              <w:pStyle w:val="Compact"/>
              <w:jc w:val="left"/>
            </w:pPr>
            <w:r>
              <w:t xml:space="preserve">排列图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趋势图/折线图</w:t>
            </w:r>
          </w:p>
        </w:tc>
        <w:tc>
          <w:p>
            <w:pPr>
              <w:pStyle w:val="Compact"/>
              <w:jc w:val="left"/>
            </w:pPr>
            <w:r>
              <w:t xml:space="preserve">观察合格率、投诉率等指标随时间的变化趋势</w:t>
            </w:r>
          </w:p>
        </w:tc>
        <w:tc>
          <w:p>
            <w:pPr>
              <w:pStyle w:val="Compact"/>
              <w:jc w:val="left"/>
            </w:pPr>
            <w:r>
              <w:t xml:space="preserve">趋势图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直方图</w:t>
            </w:r>
          </w:p>
        </w:tc>
        <w:tc>
          <w:p>
            <w:pPr>
              <w:pStyle w:val="Compact"/>
              <w:jc w:val="left"/>
            </w:pPr>
            <w:r>
              <w:t xml:space="preserve">分析测量数据分布形态，判断过程是否稳定受控</w:t>
            </w:r>
          </w:p>
        </w:tc>
        <w:tc>
          <w:p>
            <w:pPr>
              <w:pStyle w:val="Compact"/>
              <w:jc w:val="left"/>
            </w:pPr>
            <w:r>
              <w:t xml:space="preserve">直方图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控制图（X̄-R 图等）</w:t>
            </w:r>
          </w:p>
        </w:tc>
        <w:tc>
          <w:p>
            <w:pPr>
              <w:pStyle w:val="Compact"/>
              <w:jc w:val="left"/>
            </w:pPr>
            <w:r>
              <w:t xml:space="preserve">监控关键过程是否处于统计受控状态</w:t>
            </w:r>
          </w:p>
        </w:tc>
        <w:tc>
          <w:p>
            <w:pPr>
              <w:pStyle w:val="Compact"/>
              <w:jc w:val="left"/>
            </w:pPr>
            <w:r>
              <w:t xml:space="preserve">控制图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因果图（鱼骨图）</w:t>
            </w:r>
          </w:p>
        </w:tc>
        <w:tc>
          <w:p>
            <w:pPr>
              <w:pStyle w:val="Compact"/>
              <w:jc w:val="left"/>
            </w:pPr>
            <w:r>
              <w:t xml:space="preserve">系统分析问题产生的人机料法环测原因</w:t>
            </w:r>
          </w:p>
        </w:tc>
        <w:tc>
          <w:p>
            <w:pPr>
              <w:pStyle w:val="Compact"/>
              <w:jc w:val="left"/>
            </w:pPr>
            <w:r>
              <w:t xml:space="preserve">因果图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散布图</w:t>
            </w:r>
          </w:p>
        </w:tc>
        <w:tc>
          <w:p>
            <w:pPr>
              <w:pStyle w:val="Compact"/>
              <w:jc w:val="left"/>
            </w:pPr>
            <w:r>
              <w:t xml:space="preserve">分析两个变量之间的相关关系</w:t>
            </w:r>
          </w:p>
        </w:tc>
        <w:tc>
          <w:p>
            <w:pPr>
              <w:pStyle w:val="Compact"/>
              <w:jc w:val="left"/>
            </w:pPr>
            <w:r>
              <w:t xml:space="preserve">散布图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分层法</w:t>
            </w:r>
          </w:p>
        </w:tc>
        <w:tc>
          <w:p>
            <w:pPr>
              <w:pStyle w:val="Compact"/>
              <w:jc w:val="left"/>
            </w:pPr>
            <w:r>
              <w:t xml:space="preserve">按班组、设备、班次、供方等维度拆分数据找差异</w:t>
            </w:r>
          </w:p>
        </w:tc>
        <w:tc>
          <w:p>
            <w:pPr>
              <w:pStyle w:val="Compact"/>
              <w:jc w:val="left"/>
            </w:pPr>
            <w:r>
              <w:t xml:space="preserve">分层统计表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描述性统计</w:t>
            </w:r>
          </w:p>
        </w:tc>
        <w:tc>
          <w:p>
            <w:pPr>
              <w:pStyle w:val="Compact"/>
              <w:jc w:val="left"/>
            </w:pPr>
            <w:r>
              <w:t xml:space="preserve">计算均值、极差、标准差、合格率、PPM 值等</w:t>
            </w:r>
          </w:p>
        </w:tc>
        <w:tc>
          <w:p>
            <w:pPr>
              <w:pStyle w:val="Compact"/>
              <w:jc w:val="left"/>
            </w:pPr>
            <w:r>
              <w:t xml:space="preserve">统计表</w:t>
            </w:r>
          </w:p>
        </w:tc>
      </w:tr>
    </w:tbl>
    <w:p>
      <w:pPr>
        <w:pStyle w:val="BodyText"/>
      </w:pPr>
      <w:r>
        <w:t xml:space="preserve">4.3.2 统计工具选用原则：</w:t>
      </w:r>
    </w:p>
    <w:p>
      <w:pPr>
        <w:numPr>
          <w:ilvl w:val="0"/>
          <w:numId w:val="1004"/>
        </w:numPr>
        <w:pStyle w:val="Compact"/>
      </w:pPr>
      <w:r>
        <w:t xml:space="preserve">常规月度分析以描述性统计与趋势图为主，计算各指标的达标率、同比与环比变化；</w:t>
      </w:r>
    </w:p>
    <w:p>
      <w:pPr>
        <w:numPr>
          <w:ilvl w:val="0"/>
          <w:numId w:val="1004"/>
        </w:numPr>
        <w:pStyle w:val="Compact"/>
      </w:pPr>
      <w:r>
        <w:t xml:space="preserve">对重复发生或批量性质量问题，采用排列图确定主因、因果图分析根因；</w:t>
      </w:r>
    </w:p>
    <w:p>
      <w:pPr>
        <w:numPr>
          <w:ilvl w:val="0"/>
          <w:numId w:val="1004"/>
        </w:numPr>
        <w:pStyle w:val="Compact"/>
      </w:pPr>
      <w:r>
        <w:t xml:space="preserve">对关键过程（如注塑、焊接、电镀等特殊过程或顾客关注过程）采用控制图进行过程能力监控，计算 Cp/Cpk 值；</w:t>
      </w:r>
    </w:p>
    <w:p>
      <w:pPr>
        <w:numPr>
          <w:ilvl w:val="0"/>
          <w:numId w:val="1004"/>
        </w:numPr>
        <w:pStyle w:val="Compact"/>
      </w:pPr>
      <w:r>
        <w:t xml:space="preserve">分析人员应经过相应统计技术培训，工具使用不当导致结论错误的，由品质部组织再培训。</w:t>
      </w:r>
    </w:p>
    <w:p>
      <w:pPr>
        <w:pStyle w:val="FirstParagraph"/>
      </w:pPr>
      <w:r>
        <w:t xml:space="preserve">4.3.3 计算方法示例：</w:t>
      </w:r>
    </w:p>
    <w:p>
      <w:pPr>
        <w:numPr>
          <w:ilvl w:val="0"/>
          <w:numId w:val="1005"/>
        </w:numPr>
        <w:pStyle w:val="Compact"/>
      </w:pPr>
      <w:r>
        <w:rPr>
          <w:b/>
        </w:rPr>
        <w:t xml:space="preserve">来料批次合格率</w:t>
      </w:r>
      <w:r>
        <w:t xml:space="preserve">＝合格批次 ÷ 来料总批次 × 100%；</w:t>
      </w:r>
    </w:p>
    <w:p>
      <w:pPr>
        <w:numPr>
          <w:ilvl w:val="0"/>
          <w:numId w:val="1005"/>
        </w:numPr>
        <w:pStyle w:val="Compact"/>
      </w:pPr>
      <w:r>
        <w:rPr>
          <w:b/>
        </w:rPr>
        <w:t xml:space="preserve">一次交验合格率</w:t>
      </w:r>
      <w:r>
        <w:t xml:space="preserve">＝一次检验合格批（件）数 ÷ 交验总批（件）数 × 100%；</w:t>
      </w:r>
    </w:p>
    <w:p>
      <w:pPr>
        <w:numPr>
          <w:ilvl w:val="0"/>
          <w:numId w:val="1005"/>
        </w:numPr>
        <w:pStyle w:val="Compact"/>
      </w:pPr>
      <w:r>
        <w:rPr>
          <w:b/>
        </w:rPr>
        <w:t xml:space="preserve">交付及时率</w:t>
      </w:r>
      <w:r>
        <w:t xml:space="preserve">＝按期交付订单数 ÷ 应交订单总数 × 100%；</w:t>
      </w:r>
    </w:p>
    <w:p>
      <w:pPr>
        <w:numPr>
          <w:ilvl w:val="0"/>
          <w:numId w:val="1005"/>
        </w:numPr>
        <w:pStyle w:val="Compact"/>
      </w:pPr>
      <w:r>
        <w:rPr>
          <w:b/>
        </w:rPr>
        <w:t xml:space="preserve">投诉率</w:t>
      </w:r>
      <w:r>
        <w:t xml:space="preserve">＝当期有效投诉次数 ÷ 当期发货批次（或销售额）进行归一化计算；</w:t>
      </w:r>
    </w:p>
    <w:p>
      <w:pPr>
        <w:numPr>
          <w:ilvl w:val="0"/>
          <w:numId w:val="1005"/>
        </w:numPr>
        <w:pStyle w:val="Compact"/>
      </w:pPr>
      <w:r>
        <w:rPr>
          <w:b/>
        </w:rPr>
        <w:t xml:space="preserve">过程能力指数</w:t>
      </w:r>
      <w:r>
        <w:t xml:space="preserve">：Cpk ≥ 1.33 为能力充分，1.00 ≤ Cpk ＜ 1.33 为能力尚可需持续关注，Cpk ＜ 1.00 为能力不足需改进。</w:t>
      </w:r>
    </w:p>
    <w:p>
      <w:pPr>
        <w:pStyle w:val="Heading3"/>
      </w:pPr>
      <w:bookmarkStart w:id="28" w:name="数据评价与趋势判定"/>
      <w:r>
        <w:t xml:space="preserve">4.4 数据评价与趋势判定</w:t>
      </w:r>
      <w:bookmarkEnd w:id="28"/>
    </w:p>
    <w:p>
      <w:pPr>
        <w:pStyle w:val="FirstParagraph"/>
      </w:pPr>
      <w:r>
        <w:t xml:space="preserve">4.4.1 品质部将分析结果与以下基准进行对比评价：</w:t>
      </w:r>
    </w:p>
    <w:p>
      <w:pPr>
        <w:numPr>
          <w:ilvl w:val="0"/>
          <w:numId w:val="1006"/>
        </w:numPr>
        <w:pStyle w:val="Compact"/>
      </w:pPr>
      <w:r>
        <w:rPr>
          <w:b/>
        </w:rPr>
        <w:t xml:space="preserve">目标基准</w:t>
      </w:r>
      <w:r>
        <w:t xml:space="preserve">：与年度质量目标及分解指标对比，判定达标与否；</w:t>
      </w:r>
    </w:p>
    <w:p>
      <w:pPr>
        <w:numPr>
          <w:ilvl w:val="0"/>
          <w:numId w:val="1006"/>
        </w:numPr>
        <w:pStyle w:val="Compact"/>
      </w:pPr>
      <w:r>
        <w:rPr>
          <w:b/>
        </w:rPr>
        <w:t xml:space="preserve">历史基准</w:t>
      </w:r>
      <w:r>
        <w:t xml:space="preserve">：与上年度同期、上月份数据进行同比、环比，判定趋势；</w:t>
      </w:r>
    </w:p>
    <w:p>
      <w:pPr>
        <w:numPr>
          <w:ilvl w:val="0"/>
          <w:numId w:val="1006"/>
        </w:numPr>
        <w:pStyle w:val="Compact"/>
      </w:pPr>
      <w:r>
        <w:rPr>
          <w:b/>
        </w:rPr>
        <w:t xml:space="preserve">能力基准</w:t>
      </w:r>
      <w:r>
        <w:t xml:space="preserve">：过程能力指数与行业惯例值（Cpk ≥ 1.33）对比；</w:t>
      </w:r>
    </w:p>
    <w:p>
      <w:pPr>
        <w:numPr>
          <w:ilvl w:val="0"/>
          <w:numId w:val="1006"/>
        </w:numPr>
        <w:pStyle w:val="Compact"/>
      </w:pPr>
      <w:r>
        <w:rPr>
          <w:b/>
        </w:rPr>
        <w:t xml:space="preserve">外部基准</w:t>
      </w:r>
      <w:r>
        <w:t xml:space="preserve">：适用时与顾客要求、行业标杆进行对标。</w:t>
      </w:r>
    </w:p>
    <w:p>
      <w:pPr>
        <w:pStyle w:val="FirstParagraph"/>
      </w:pPr>
      <w:r>
        <w:t xml:space="preserve">4.4.2 趋势判定准则：</w:t>
      </w:r>
    </w:p>
    <w:p>
      <w:pPr>
        <w:numPr>
          <w:ilvl w:val="0"/>
          <w:numId w:val="1007"/>
        </w:numPr>
        <w:pStyle w:val="Compact"/>
      </w:pPr>
      <w:r>
        <w:t xml:space="preserve">连续 3 个月指标向不利方向偏移（如合格率持续下降、投诉率持续上升），判定为</w:t>
      </w:r>
      <w:r>
        <w:t xml:space="preserve">“</w:t>
      </w:r>
      <w:r>
        <w:t xml:space="preserve">不良趋势</w:t>
      </w:r>
      <w:r>
        <w:t xml:space="preserve">”</w:t>
      </w:r>
      <w:r>
        <w:t xml:space="preserve">，触发原因分析与纠正措施；</w:t>
      </w:r>
    </w:p>
    <w:p>
      <w:pPr>
        <w:numPr>
          <w:ilvl w:val="0"/>
          <w:numId w:val="1007"/>
        </w:numPr>
        <w:pStyle w:val="Compact"/>
      </w:pPr>
      <w:r>
        <w:t xml:space="preserve">单项指标连续 2 个月未达标，判定为</w:t>
      </w:r>
      <w:r>
        <w:t xml:space="preserve">“</w:t>
      </w:r>
      <w:r>
        <w:t xml:space="preserve">目标偏离</w:t>
      </w:r>
      <w:r>
        <w:t xml:space="preserve">”</w:t>
      </w:r>
      <w:r>
        <w:t xml:space="preserve">，责任部门须提交改进措施；</w:t>
      </w:r>
    </w:p>
    <w:p>
      <w:pPr>
        <w:numPr>
          <w:ilvl w:val="0"/>
          <w:numId w:val="1007"/>
        </w:numPr>
        <w:pStyle w:val="Compact"/>
      </w:pPr>
      <w:r>
        <w:t xml:space="preserve">指标虽达标但连续 3 个月呈下降趋势，判定为</w:t>
      </w:r>
      <w:r>
        <w:t xml:space="preserve">“</w:t>
      </w:r>
      <w:r>
        <w:t xml:space="preserve">潜在风险</w:t>
      </w:r>
      <w:r>
        <w:t xml:space="preserve">”</w:t>
      </w:r>
      <w:r>
        <w:t xml:space="preserve">，列入监视与预防范围；</w:t>
      </w:r>
    </w:p>
    <w:p>
      <w:pPr>
        <w:numPr>
          <w:ilvl w:val="0"/>
          <w:numId w:val="1007"/>
        </w:numPr>
        <w:pStyle w:val="Compact"/>
      </w:pPr>
      <w:r>
        <w:t xml:space="preserve">控制图出现连续 7 点同侧、趋势性上升/下降等判异规则时，判定过程失控，按《不合格品控制程序》与《不合格与纠正措施程序》处理。</w:t>
      </w:r>
    </w:p>
    <w:p>
      <w:pPr>
        <w:pStyle w:val="FirstParagraph"/>
      </w:pPr>
      <w:r>
        <w:t xml:space="preserve">4.4.3 评价结论分为四类：良好（达标且趋势向好）、正常（达标且趋势平稳）、关注（达标但趋势下降或接近临界）、异常（未达标或过程失控），对应处置要求见 4.5。</w:t>
      </w:r>
    </w:p>
    <w:p>
      <w:pPr>
        <w:pStyle w:val="Heading3"/>
      </w:pPr>
      <w:bookmarkStart w:id="29" w:name="分析结果的应用"/>
      <w:r>
        <w:t xml:space="preserve">4.5 分析结果的应用</w:t>
      </w:r>
      <w:bookmarkEnd w:id="29"/>
    </w:p>
    <w:p>
      <w:pPr>
        <w:pStyle w:val="FirstParagraph"/>
      </w:pPr>
      <w:r>
        <w:t xml:space="preserve">4.5.1 分析结果按以下途径应用：</w:t>
      </w:r>
    </w:p>
    <w:p>
      <w:pPr>
        <w:numPr>
          <w:ilvl w:val="0"/>
          <w:numId w:val="1008"/>
        </w:numPr>
        <w:pStyle w:val="Compact"/>
      </w:pPr>
      <w:r>
        <w:rPr>
          <w:b/>
        </w:rPr>
        <w:t xml:space="preserve">改进决策</w:t>
      </w:r>
      <w:r>
        <w:t xml:space="preserve">：对</w:t>
      </w:r>
      <w:r>
        <w:t xml:space="preserve">“</w:t>
      </w:r>
      <w:r>
        <w:t xml:space="preserve">异常</w:t>
      </w:r>
      <w:r>
        <w:t xml:space="preserve">”</w:t>
      </w:r>
      <w:r>
        <w:t xml:space="preserve">类结论，责任部门在 5 个工作日内按《不合格与纠正措施程序》启动纠正措施；对</w:t>
      </w:r>
      <w:r>
        <w:t xml:space="preserve">“</w:t>
      </w:r>
      <w:r>
        <w:t xml:space="preserve">关注</w:t>
      </w:r>
      <w:r>
        <w:t xml:space="preserve">”</w:t>
      </w:r>
      <w:r>
        <w:t xml:space="preserve">类结论，制定预防性改进计划；</w:t>
      </w:r>
    </w:p>
    <w:p>
      <w:pPr>
        <w:numPr>
          <w:ilvl w:val="0"/>
          <w:numId w:val="1008"/>
        </w:numPr>
        <w:pStyle w:val="Compact"/>
      </w:pPr>
      <w:r>
        <w:rPr>
          <w:b/>
        </w:rPr>
        <w:t xml:space="preserve">管理评审输入</w:t>
      </w:r>
      <w:r>
        <w:t xml:space="preserve">：品质部将年度数据分析汇总结果作为管理评审输入之一，提交总经理审议；</w:t>
      </w:r>
    </w:p>
    <w:p>
      <w:pPr>
        <w:numPr>
          <w:ilvl w:val="0"/>
          <w:numId w:val="1008"/>
        </w:numPr>
        <w:pStyle w:val="Compact"/>
      </w:pPr>
      <w:r>
        <w:rPr>
          <w:b/>
        </w:rPr>
        <w:t xml:space="preserve">目标修订</w:t>
      </w:r>
      <w:r>
        <w:t xml:space="preserve">：数据分析结论作为下一年度质量目标制定与指标调整的依据；</w:t>
      </w:r>
    </w:p>
    <w:p>
      <w:pPr>
        <w:numPr>
          <w:ilvl w:val="0"/>
          <w:numId w:val="1008"/>
        </w:numPr>
        <w:pStyle w:val="Compact"/>
      </w:pPr>
      <w:r>
        <w:rPr>
          <w:b/>
        </w:rPr>
        <w:t xml:space="preserve">供方管理</w:t>
      </w:r>
      <w:r>
        <w:t xml:space="preserve">：供方绩效分析结果按《采购与外部提供控制程序》用于供方分级、淘汰与辅导；</w:t>
      </w:r>
    </w:p>
    <w:p>
      <w:pPr>
        <w:numPr>
          <w:ilvl w:val="0"/>
          <w:numId w:val="1008"/>
        </w:numPr>
        <w:pStyle w:val="Compact"/>
      </w:pPr>
      <w:r>
        <w:rPr>
          <w:b/>
        </w:rPr>
        <w:t xml:space="preserve">培训需求</w:t>
      </w:r>
      <w:r>
        <w:t xml:space="preserve">：由数据分析暴露的技能短板，反馈至《人力资源管理程序》作为培训需求输入。</w:t>
      </w:r>
    </w:p>
    <w:p>
      <w:pPr>
        <w:pStyle w:val="FirstParagraph"/>
      </w:pPr>
      <w:r>
        <w:t xml:space="preserve">4.5.2 各部门对涉及本部门的改进措施，应明确责任人、完成时限并按时反馈，品质部跟踪验证有效性，验证情况记录于《纠正措施处理单》。</w:t>
      </w:r>
    </w:p>
    <w:p>
      <w:pPr>
        <w:pStyle w:val="Heading3"/>
      </w:pPr>
      <w:bookmarkStart w:id="30" w:name="数据分析报告"/>
      <w:r>
        <w:t xml:space="preserve">4.6 数据分析报告</w:t>
      </w:r>
      <w:bookmarkEnd w:id="30"/>
    </w:p>
    <w:p>
      <w:pPr>
        <w:pStyle w:val="FirstParagraph"/>
      </w:pPr>
      <w:r>
        <w:t xml:space="preserve">4.6.1 品质部每月 15 日前编制上月《数据分析月报》，内容包括：各类指标完成情况、同比环比对比、主要问题排列分析、趋势判定结论、改进措施跟踪情况；年度数据分析报告在每年 12 月编制，纳入管理评审。</w:t>
      </w:r>
    </w:p>
    <w:p>
      <w:pPr>
        <w:pStyle w:val="BodyText"/>
      </w:pPr>
      <w:r>
        <w:t xml:space="preserve">4.6.2 报告经管理者代表审核、总经理批准后分发至相关部门；月报应在 2 个工作日内发放至部门负责人，重大异常情况立即专项报告。</w:t>
      </w:r>
    </w:p>
    <w:p>
      <w:pPr>
        <w:pStyle w:val="Heading3"/>
      </w:pPr>
      <w:bookmarkStart w:id="31" w:name="流程图文字版"/>
      <w:r>
        <w:t xml:space="preserve">4.7 流程图（文字版）</w:t>
      </w:r>
      <w:bookmarkEnd w:id="31"/>
    </w:p>
    <w:p>
      <w:pPr>
        <w:pStyle w:val="SourceCode"/>
      </w:pPr>
      <w:r>
        <w:rPr>
          <w:rStyle w:val="VerbatimChar"/>
        </w:rPr>
        <w:t xml:space="preserve">各部门收集原始数据 → 按周期报送品质部 → 品质部核查完整性</w:t>
      </w:r>
      <w:r>
        <w:br/>
      </w:r>
      <w:r>
        <w:rPr>
          <w:rStyle w:val="VerbatimChar"/>
        </w:rPr>
        <w:t xml:space="preserve">→ 选用统计方法分析 → 与目标/历史/能力基准对比评价</w:t>
      </w:r>
      <w:r>
        <w:br/>
      </w:r>
      <w:r>
        <w:rPr>
          <w:rStyle w:val="VerbatimChar"/>
        </w:rPr>
        <w:t xml:space="preserve">→ 判定趋势（良好/正常/关注/异常）→ 形成分析报告</w:t>
      </w:r>
      <w:r>
        <w:br/>
      </w:r>
      <w:r>
        <w:rPr>
          <w:rStyle w:val="VerbatimChar"/>
        </w:rPr>
        <w:t xml:space="preserve">→ 正常：归档备查；关注：制定预防措施；异常：启动纠正措施</w:t>
      </w:r>
      <w:r>
        <w:br/>
      </w:r>
      <w:r>
        <w:rPr>
          <w:rStyle w:val="VerbatimChar"/>
        </w:rPr>
        <w:t xml:space="preserve">→ 结果输入管理评审、目标修订、供方管理、培训需求</w:t>
      </w:r>
      <w:r>
        <w:br/>
      </w:r>
      <w:r>
        <w:rPr>
          <w:rStyle w:val="VerbatimChar"/>
        </w:rPr>
        <w:t xml:space="preserve">→ 品质部跟踪验证改进措施有效性 → 闭环归档</w:t>
      </w:r>
    </w:p>
    <w:p>
      <w:pPr>
        <w:pStyle w:val="Heading2"/>
      </w:pPr>
      <w:bookmarkStart w:id="32" w:name="五相关记录"/>
      <w:r>
        <w:t xml:space="preserve">五、相关记录</w:t>
      </w:r>
      <w:bookmarkEnd w:id="32"/>
    </w:p>
    <w:tbl>
      <w:tblPr>
        <w:tblStyle w:val="Table"/>
        <w:tblW w:type="pct" w:w="0.0"/>
        <w:tblLook w:firstRow="1"/>
      </w:tblPr>
      <w:tblGrid/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记录名称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编号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保存部门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保存期限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质量数据汇总台账</w:t>
            </w:r>
          </w:p>
        </w:tc>
        <w:tc>
          <w:p>
            <w:pPr>
              <w:pStyle w:val="Compact"/>
              <w:jc w:val="left"/>
            </w:pPr>
            <w:r>
              <w:t xml:space="preserve">QR-24-01</w:t>
            </w:r>
          </w:p>
        </w:tc>
        <w:tc>
          <w:p>
            <w:pPr>
              <w:pStyle w:val="Compact"/>
              <w:jc w:val="left"/>
            </w:pPr>
            <w:r>
              <w:t xml:space="preserve">品质部</w:t>
            </w:r>
          </w:p>
        </w:tc>
        <w:tc>
          <w:p>
            <w:pPr>
              <w:pStyle w:val="Compact"/>
              <w:jc w:val="left"/>
            </w:pPr>
            <w:r>
              <w:t xml:space="preserve">3 年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数据分析月报</w:t>
            </w:r>
          </w:p>
        </w:tc>
        <w:tc>
          <w:p>
            <w:pPr>
              <w:pStyle w:val="Compact"/>
              <w:jc w:val="left"/>
            </w:pPr>
            <w:r>
              <w:t xml:space="preserve">QR-24-02</w:t>
            </w:r>
          </w:p>
        </w:tc>
        <w:tc>
          <w:p>
            <w:pPr>
              <w:pStyle w:val="Compact"/>
              <w:jc w:val="left"/>
            </w:pPr>
            <w:r>
              <w:t xml:space="preserve">品质部</w:t>
            </w:r>
          </w:p>
        </w:tc>
        <w:tc>
          <w:p>
            <w:pPr>
              <w:pStyle w:val="Compact"/>
              <w:jc w:val="left"/>
            </w:pPr>
            <w:r>
              <w:t xml:space="preserve">3 年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年度数据分析报告</w:t>
            </w:r>
          </w:p>
        </w:tc>
        <w:tc>
          <w:p>
            <w:pPr>
              <w:pStyle w:val="Compact"/>
              <w:jc w:val="left"/>
            </w:pPr>
            <w:r>
              <w:t xml:space="preserve">QR-24-03</w:t>
            </w:r>
          </w:p>
        </w:tc>
        <w:tc>
          <w:p>
            <w:pPr>
              <w:pStyle w:val="Compact"/>
              <w:jc w:val="left"/>
            </w:pPr>
            <w:r>
              <w:t xml:space="preserve">品质部/文控中心</w:t>
            </w:r>
          </w:p>
        </w:tc>
        <w:tc>
          <w:p>
            <w:pPr>
              <w:pStyle w:val="Compact"/>
              <w:jc w:val="left"/>
            </w:pPr>
            <w:r>
              <w:t xml:space="preserve">长期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数据分析计划</w:t>
            </w:r>
          </w:p>
        </w:tc>
        <w:tc>
          <w:p>
            <w:pPr>
              <w:pStyle w:val="Compact"/>
              <w:jc w:val="left"/>
            </w:pPr>
            <w:r>
              <w:t xml:space="preserve">QR-24-04</w:t>
            </w:r>
          </w:p>
        </w:tc>
        <w:tc>
          <w:p>
            <w:pPr>
              <w:pStyle w:val="Compact"/>
              <w:jc w:val="left"/>
            </w:pPr>
            <w:r>
              <w:t xml:space="preserve">品质部</w:t>
            </w:r>
          </w:p>
        </w:tc>
        <w:tc>
          <w:p>
            <w:pPr>
              <w:pStyle w:val="Compact"/>
              <w:jc w:val="left"/>
            </w:pPr>
            <w:r>
              <w:t xml:space="preserve">3 年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统计图表分析记录（排列图、控制图等）</w:t>
            </w:r>
          </w:p>
        </w:tc>
        <w:tc>
          <w:p>
            <w:pPr>
              <w:pStyle w:val="Compact"/>
              <w:jc w:val="left"/>
            </w:pPr>
            <w:r>
              <w:t xml:space="preserve">QR-24-05</w:t>
            </w:r>
          </w:p>
        </w:tc>
        <w:tc>
          <w:p>
            <w:pPr>
              <w:pStyle w:val="Compact"/>
              <w:jc w:val="left"/>
            </w:pPr>
            <w:r>
              <w:t xml:space="preserve">品质部</w:t>
            </w:r>
          </w:p>
        </w:tc>
        <w:tc>
          <w:p>
            <w:pPr>
              <w:pStyle w:val="Compact"/>
              <w:jc w:val="left"/>
            </w:pPr>
            <w:r>
              <w:t xml:space="preserve">3 年</w:t>
            </w:r>
          </w:p>
        </w:tc>
      </w:tr>
    </w:tbl>
    <w:p>
      <w:pPr>
        <w:pStyle w:val="BodyText"/>
      </w:pPr>
      <w:r>
        <w:t xml:space="preserve">注：记录编号规则按《记录控制程序》执行，各企业可结合自身编号体系调整。</w:t>
      </w:r>
    </w:p>
    <w:p>
      <w:pPr>
        <w:pStyle w:val="Heading2"/>
      </w:pPr>
      <w:bookmarkStart w:id="33" w:name="六相关文件"/>
      <w:r>
        <w:t xml:space="preserve">六、相关文件</w:t>
      </w:r>
      <w:bookmarkEnd w:id="33"/>
    </w:p>
    <w:p>
      <w:pPr>
        <w:numPr>
          <w:ilvl w:val="0"/>
          <w:numId w:val="1009"/>
        </w:numPr>
        <w:pStyle w:val="Compact"/>
      </w:pPr>
      <w:r>
        <w:t xml:space="preserve">ISO 9001:2015《质量管理体系 要求》条款 9.1.3；</w:t>
      </w:r>
    </w:p>
    <w:p>
      <w:pPr>
        <w:numPr>
          <w:ilvl w:val="0"/>
          <w:numId w:val="1009"/>
        </w:numPr>
        <w:pStyle w:val="Compact"/>
      </w:pPr>
      <w:r>
        <w:t xml:space="preserve">《记录控制程序》；</w:t>
      </w:r>
    </w:p>
    <w:p>
      <w:pPr>
        <w:numPr>
          <w:ilvl w:val="0"/>
          <w:numId w:val="1009"/>
        </w:numPr>
        <w:pStyle w:val="Compact"/>
      </w:pPr>
      <w:r>
        <w:t xml:space="preserve">《质量方针与质量目标管理程序》；</w:t>
      </w:r>
    </w:p>
    <w:p>
      <w:pPr>
        <w:numPr>
          <w:ilvl w:val="0"/>
          <w:numId w:val="1009"/>
        </w:numPr>
        <w:pStyle w:val="Compact"/>
      </w:pPr>
      <w:r>
        <w:t xml:space="preserve">《顾客满意监视测量程序》；</w:t>
      </w:r>
    </w:p>
    <w:p>
      <w:pPr>
        <w:numPr>
          <w:ilvl w:val="0"/>
          <w:numId w:val="1009"/>
        </w:numPr>
        <w:pStyle w:val="Compact"/>
      </w:pPr>
      <w:r>
        <w:t xml:space="preserve">《不合格品控制程序》；</w:t>
      </w:r>
    </w:p>
    <w:p>
      <w:pPr>
        <w:numPr>
          <w:ilvl w:val="0"/>
          <w:numId w:val="1009"/>
        </w:numPr>
        <w:pStyle w:val="Compact"/>
      </w:pPr>
      <w:r>
        <w:t xml:space="preserve">《不合格与纠正措施程序》；</w:t>
      </w:r>
    </w:p>
    <w:p>
      <w:pPr>
        <w:numPr>
          <w:ilvl w:val="0"/>
          <w:numId w:val="1009"/>
        </w:numPr>
        <w:pStyle w:val="Compact"/>
      </w:pPr>
      <w:r>
        <w:t xml:space="preserve">《采购与外部提供控制程序》；</w:t>
      </w:r>
    </w:p>
    <w:p>
      <w:pPr>
        <w:numPr>
          <w:ilvl w:val="0"/>
          <w:numId w:val="1009"/>
        </w:numPr>
        <w:pStyle w:val="Compact"/>
      </w:pPr>
      <w:r>
        <w:t xml:space="preserve">《内部审核程序》；</w:t>
      </w:r>
    </w:p>
    <w:p>
      <w:pPr>
        <w:numPr>
          <w:ilvl w:val="0"/>
          <w:numId w:val="1009"/>
        </w:numPr>
        <w:pStyle w:val="Compact"/>
      </w:pPr>
      <w:r>
        <w:t xml:space="preserve">《管理评审程序》。</w:t>
      </w:r>
    </w:p>
    <w:p>
      <w:pPr>
        <w:pStyle w:val="Heading2"/>
      </w:pPr>
      <w:bookmarkStart w:id="34" w:name="使用说明"/>
      <w:r>
        <w:t xml:space="preserve">使用说明</w:t>
      </w:r>
      <w:bookmarkEnd w:id="34"/>
    </w:p>
    <w:p>
      <w:pPr>
        <w:pStyle w:val="FirstParagraph"/>
      </w:pPr>
      <w:r>
        <w:rPr>
          <w:b/>
        </w:rPr>
        <w:t xml:space="preserve">一、如何按企业实际修改</w:t>
      </w:r>
    </w:p>
    <w:p>
      <w:pPr>
        <w:numPr>
          <w:ilvl w:val="0"/>
          <w:numId w:val="1010"/>
        </w:numPr>
        <w:pStyle w:val="Compact"/>
      </w:pPr>
      <w:r>
        <w:rPr>
          <w:b/>
        </w:rPr>
        <w:t xml:space="preserve">组织适配</w:t>
      </w:r>
      <w:r>
        <w:t xml:space="preserve">：职责表按本企业部门设置调整，小企业可合并归口部门（如品质部兼管数据归口），但</w:t>
      </w:r>
      <w:r>
        <w:t xml:space="preserve">“</w:t>
      </w:r>
      <w:r>
        <w:t xml:space="preserve">收集—分析—应用—跟踪</w:t>
      </w:r>
      <w:r>
        <w:t xml:space="preserve">”</w:t>
      </w:r>
      <w:r>
        <w:t xml:space="preserve">四个环节的责任人必须明确到岗位，避免出现</w:t>
      </w:r>
      <w:r>
        <w:t xml:space="preserve">“</w:t>
      </w:r>
      <w:r>
        <w:t xml:space="preserve">数据无人分析、结论无人落实</w:t>
      </w:r>
      <w:r>
        <w:t xml:space="preserve">”</w:t>
      </w:r>
      <w:r>
        <w:t xml:space="preserve">的空转。</w:t>
      </w:r>
    </w:p>
    <w:p>
      <w:pPr>
        <w:numPr>
          <w:ilvl w:val="0"/>
          <w:numId w:val="1010"/>
        </w:numPr>
        <w:pStyle w:val="Compact"/>
      </w:pPr>
      <w:r>
        <w:rPr>
          <w:b/>
        </w:rPr>
        <w:t xml:space="preserve">产品与行业适配</w:t>
      </w:r>
      <w:r>
        <w:t xml:space="preserve">：制造业以检验合格率、Cpk、PPM 为核心指标；服务业可将指标调整为顾客投诉率、服务响应时间、一次解决率、满意度得分等；工程项目可增加竣工验收一次合格率、安全事故率等指标。4.3 节的统计工具表按实际使用能力保留 3～5 种即可，不必全部引入。</w:t>
      </w:r>
    </w:p>
    <w:p>
      <w:pPr>
        <w:numPr>
          <w:ilvl w:val="0"/>
          <w:numId w:val="1010"/>
        </w:numPr>
        <w:pStyle w:val="Compact"/>
      </w:pPr>
      <w:r>
        <w:rPr>
          <w:b/>
        </w:rPr>
        <w:t xml:space="preserve">频次与规模适配</w:t>
      </w:r>
      <w:r>
        <w:t xml:space="preserve">：生产规模小、数据量少的企业，月度分析可改为季度分析，但年度分析报告必须保留；数据量不足以绘制控制图时，以趋势图与描述性统计为主，避免</w:t>
      </w:r>
      <w:r>
        <w:t xml:space="preserve">“</w:t>
      </w:r>
      <w:r>
        <w:t xml:space="preserve">为了用工具而用工具</w:t>
      </w:r>
      <w:r>
        <w:t xml:space="preserve">”</w:t>
      </w:r>
      <w:r>
        <w:t xml:space="preserve">。</w:t>
      </w:r>
    </w:p>
    <w:p>
      <w:pPr>
        <w:numPr>
          <w:ilvl w:val="0"/>
          <w:numId w:val="1010"/>
        </w:numPr>
        <w:pStyle w:val="Compact"/>
      </w:pPr>
      <w:r>
        <w:rPr>
          <w:b/>
        </w:rPr>
        <w:t xml:space="preserve">信息化适配</w:t>
      </w:r>
      <w:r>
        <w:t xml:space="preserve">：已上 ERP/MES/QMS 系统的企业，可由系统自动汇总数据、生成报表，本程序应补充系统取数规则与数据责任人，纸质台账相应简化。</w:t>
      </w:r>
    </w:p>
    <w:p>
      <w:pPr>
        <w:pStyle w:val="FirstParagraph"/>
      </w:pPr>
      <w:r>
        <w:rPr>
          <w:b/>
        </w:rPr>
        <w:t xml:space="preserve">二、审核关注点</w:t>
      </w:r>
    </w:p>
    <w:p>
      <w:pPr>
        <w:numPr>
          <w:ilvl w:val="0"/>
          <w:numId w:val="1011"/>
        </w:numPr>
        <w:pStyle w:val="Compact"/>
      </w:pPr>
      <w:r>
        <w:t xml:space="preserve">审核员会验证</w:t>
      </w:r>
      <w:r>
        <w:t xml:space="preserve">“</w:t>
      </w:r>
      <w:r>
        <w:t xml:space="preserve">是否有数据</w:t>
      </w:r>
      <w:r>
        <w:t xml:space="preserve">”</w:t>
      </w:r>
      <w:r>
        <w:t xml:space="preserve">与</w:t>
      </w:r>
      <w:r>
        <w:t xml:space="preserve">“</w:t>
      </w:r>
      <w:r>
        <w:t xml:space="preserve">数据是否被使用</w:t>
      </w:r>
      <w:r>
        <w:t xml:space="preserve">”</w:t>
      </w:r>
      <w:r>
        <w:t xml:space="preserve">两条线：既查检验记录、投诉台账等原始数据，也查数据分析报告及报告中的结论是否转化为改进措施，建议保留完整的</w:t>
      </w:r>
      <w:r>
        <w:t xml:space="preserve">“</w:t>
      </w:r>
      <w:r>
        <w:t xml:space="preserve">数据→分析→措施→验证</w:t>
      </w:r>
      <w:r>
        <w:t xml:space="preserve">”</w:t>
      </w:r>
      <w:r>
        <w:t xml:space="preserve">证据链。</w:t>
      </w:r>
    </w:p>
    <w:p>
      <w:pPr>
        <w:numPr>
          <w:ilvl w:val="0"/>
          <w:numId w:val="1011"/>
        </w:numPr>
        <w:pStyle w:val="Compact"/>
      </w:pPr>
      <w:r>
        <w:t xml:space="preserve">常见提问：不合格率下降是否分析过原因？分析结果如何进入管理评审？供方绩效数据是否用于供方分级？请确保每个结论都能指到对应的措施记录。</w:t>
      </w:r>
    </w:p>
    <w:p>
      <w:pPr>
        <w:numPr>
          <w:ilvl w:val="0"/>
          <w:numId w:val="1011"/>
        </w:numPr>
        <w:pStyle w:val="Compact"/>
      </w:pPr>
      <w:r>
        <w:t xml:space="preserve">注意 9.1.3 与 9.1.2、9.2、9.3、10.2 的联动证据：内审不符合项分布分析、管理评审输入中的数据分析章节、纠正措施与数据分析结论的对应关系，是近年审核的高频核查点。</w:t>
      </w:r>
    </w:p>
    <w:p>
      <w:pPr>
        <w:pStyle w:val="FirstParagraph"/>
      </w:pPr>
      <w:r>
        <w:rPr>
          <w:b/>
        </w:rPr>
        <w:t xml:space="preserve">三、常见错误</w:t>
      </w:r>
    </w:p>
    <w:p>
      <w:pPr>
        <w:numPr>
          <w:ilvl w:val="0"/>
          <w:numId w:val="1012"/>
        </w:numPr>
        <w:pStyle w:val="Compact"/>
      </w:pPr>
      <w:r>
        <w:rPr>
          <w:b/>
        </w:rPr>
        <w:t xml:space="preserve">只统计不分析</w:t>
      </w:r>
      <w:r>
        <w:t xml:space="preserve">：报告停留在</w:t>
      </w:r>
      <w:r>
        <w:t xml:space="preserve">“</w:t>
      </w:r>
      <w:r>
        <w:t xml:space="preserve">合格率 98%</w:t>
      </w:r>
      <w:r>
        <w:t xml:space="preserve">”</w:t>
      </w:r>
      <w:r>
        <w:t xml:space="preserve">等数字罗列，没有趋势判定、没有原因分析、没有改进建议，被审核判为不符合</w:t>
      </w:r>
      <w:r>
        <w:t xml:space="preserve">“</w:t>
      </w:r>
      <w:r>
        <w:t xml:space="preserve">评价</w:t>
      </w:r>
      <w:r>
        <w:t xml:space="preserve">”</w:t>
      </w:r>
      <w:r>
        <w:t xml:space="preserve">要求。</w:t>
      </w:r>
    </w:p>
    <w:p>
      <w:pPr>
        <w:numPr>
          <w:ilvl w:val="0"/>
          <w:numId w:val="1012"/>
        </w:numPr>
        <w:pStyle w:val="Compact"/>
      </w:pPr>
      <w:r>
        <w:rPr>
          <w:b/>
        </w:rPr>
        <w:t xml:space="preserve">数据口径不统一</w:t>
      </w:r>
      <w:r>
        <w:t xml:space="preserve">：各部门对</w:t>
      </w:r>
      <w:r>
        <w:t xml:space="preserve">“</w:t>
      </w:r>
      <w:r>
        <w:t xml:space="preserve">合格率</w:t>
      </w:r>
      <w:r>
        <w:t xml:space="preserve">”</w:t>
      </w:r>
      <w:r>
        <w:t xml:space="preserve">“</w:t>
      </w:r>
      <w:r>
        <w:t xml:space="preserve">投诉</w:t>
      </w:r>
      <w:r>
        <w:t xml:space="preserve">”</w:t>
      </w:r>
      <w:r>
        <w:t xml:space="preserve">定义不一致，导致汇总数据失真；应在程序中固化各指标的计算公式与统计口径。</w:t>
      </w:r>
    </w:p>
    <w:p>
      <w:pPr>
        <w:numPr>
          <w:ilvl w:val="0"/>
          <w:numId w:val="1012"/>
        </w:numPr>
        <w:pStyle w:val="Compact"/>
      </w:pPr>
      <w:r>
        <w:rPr>
          <w:b/>
        </w:rPr>
        <w:t xml:space="preserve">分析与管理评审脱节</w:t>
      </w:r>
      <w:r>
        <w:t xml:space="preserve">：分析报告编制后束之高阁，未纳入管理评审输入；建议在管理评审程序中将</w:t>
      </w:r>
      <w:r>
        <w:t xml:space="preserve">“</w:t>
      </w:r>
      <w:r>
        <w:t xml:space="preserve">数据分析结论及措施落实情况</w:t>
      </w:r>
      <w:r>
        <w:t xml:space="preserve">”</w:t>
      </w:r>
      <w:r>
        <w:t xml:space="preserve">列为固定输入项。</w:t>
      </w:r>
    </w:p>
    <w:p>
      <w:pPr>
        <w:numPr>
          <w:ilvl w:val="0"/>
          <w:numId w:val="1012"/>
        </w:numPr>
        <w:pStyle w:val="Compact"/>
      </w:pPr>
      <w:r>
        <w:rPr>
          <w:b/>
        </w:rPr>
        <w:t xml:space="preserve">滥用统计工具</w:t>
      </w:r>
      <w:r>
        <w:t xml:space="preserve">：样本量不足仍绘制控制图、排列图主次不分等，导致结论误导决策；分析人员应经培训并保留培训记录。</w:t>
      </w:r>
    </w:p>
    <w:p>
      <w:r>
        <w:pict>
          <v:rect style="width:0;height:1.5pt" o:hralign="center" o:hrstd="t" o:hr="t"/>
        </w:pict>
      </w:r>
    </w:p>
    <w:p>
      <w:pPr>
        <w:pStyle w:val="BlockText"/>
      </w:pPr>
      <w:r>
        <w:t xml:space="preserve">数据会说话，分析定方向</w:t>
      </w:r>
    </w:p>
    <w:p>
      <w:pPr>
        <w:pStyle w:val="FirstParagraph"/>
      </w:pPr>
      <w:r>
        <w:t xml:space="preserve">知识编号：2.3.1</w:t>
      </w:r>
    </w:p>
    <w:p>
      <w:pPr>
        <w:pStyle w:val="BodyText"/>
      </w:pPr>
      <w:r>
        <w:t xml:space="preserve">版本：v20260809</w:t>
      </w:r>
    </w:p>
    <w:p>
      <w:pPr>
        <w:pStyle w:val="BodyText"/>
      </w:pPr>
      <w:r>
        <w:t xml:space="preserve">作者：卓越质量智库</w:t>
      </w:r>
      <w:r>
        <w:t xml:space="preserve"> </w:t>
      </w:r>
      <w:r>
        <w:rPr>
          <w:i/>
        </w:rPr>
        <w:t xml:space="preserve">卓越质量智库致力于为质量管理从业者提供系统化的专业知识、方法论与实战工具，助力企业质量能力持续提升。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2c1ae401"/>
    <w:multiLevelType w:val="multilevel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 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 "/>
      <w:lvlJc w:val="left"/>
      <w:pPr>
        <w:tabs>
          <w:tab w:val="num" w:pos="5760"/>
        </w:tabs>
        <w:ind w:left="6240" w:hanging="480"/>
      </w:pPr>
    </w:lvl>
  </w:abstractNum>
  <w:abstractNum w:abstractNumId="99411">
    <w:nsid w:val="ea454b4c"/>
    <w:multiLevelType w:val="multilevel"/>
    <w:lvl w:ilvl="0">
      <w:start w:val="1"/>
      <w:numFmt w:val="decimal"/>
      <w:lvlText w:val="%1."/>
      <w:lvlJc w:val="left"/>
      <w:pPr>
        <w:tabs>
          <w:tab w:val="num" w:pos="0"/>
        </w:tabs>
        <w:ind w:left="480" w:hanging="480"/>
      </w:pPr>
    </w:lvl>
    <w:lvl w:ilvl="1">
      <w:start w:val="1"/>
      <w:numFmt w:val="decimal"/>
      <w:lvlText w:val="%2."/>
      <w:lvlJc w:val="left"/>
      <w:pPr>
        <w:tabs>
          <w:tab w:val="num" w:pos="720"/>
        </w:tabs>
        <w:ind w:left="1200" w:hanging="48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920" w:hanging="480"/>
      </w:pPr>
    </w:lvl>
    <w:lvl w:ilvl="3">
      <w:start w:val="1"/>
      <w:numFmt w:val="decimal"/>
      <w:lvlText w:val="%4."/>
      <w:lvlJc w:val="left"/>
      <w:pPr>
        <w:tabs>
          <w:tab w:val="num" w:pos="2160"/>
        </w:tabs>
        <w:ind w:left="2640" w:hanging="480"/>
      </w:pPr>
    </w:lvl>
    <w:lvl w:ilvl="4">
      <w:start w:val="1"/>
      <w:numFmt w:val="decimal"/>
      <w:lvlText w:val="%5."/>
      <w:lvlJc w:val="left"/>
      <w:pPr>
        <w:tabs>
          <w:tab w:val="num" w:pos="2880"/>
        </w:tabs>
        <w:ind w:left="3360" w:hanging="480"/>
      </w:pPr>
    </w:lvl>
    <w:lvl w:ilvl="5">
      <w:start w:val="1"/>
      <w:numFmt w:val="decimal"/>
      <w:lvlText w:val="%6."/>
      <w:lvlJc w:val="left"/>
      <w:pPr>
        <w:tabs>
          <w:tab w:val="num" w:pos="3600"/>
        </w:tabs>
        <w:ind w:left="4080" w:hanging="4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800" w:hanging="480"/>
      </w:pPr>
    </w:lvl>
    <w:lvl w:ilvl="7">
      <w:start w:val="1"/>
      <w:numFmt w:val="decimal"/>
      <w:lvlText w:val="%8."/>
      <w:lvlJc w:val="left"/>
      <w:pPr>
        <w:tabs>
          <w:tab w:val="num" w:pos="5040"/>
        </w:tabs>
        <w:ind w:left="5520" w:hanging="480"/>
      </w:pPr>
    </w:lvl>
    <w:lvl w:ilvl="8">
      <w:start w:val="1"/>
      <w:numFmt w:val="decimal"/>
      <w:lvlText w:val="%9."/>
      <w:lvlJc w:val="left"/>
      <w:pPr>
        <w:tabs>
          <w:tab w:val="num" w:pos="5760"/>
        </w:tabs>
        <w:ind w:left="6240" w:hanging="480"/>
      </w:pPr>
    </w:lvl>
  </w:abstractNum>
  <w:abstractNum w:abstractNumId="991">
    <w:nsid w:val="71315dca"/>
    <w:multiLevelType w:val="multilevel"/>
    <w:lvl w:ilvl="0">
      <w:numFmt w:val="bullet"/>
      <w:lvlText w:val="•"/>
      <w:lvlJc w:val="left"/>
      <w:pPr>
        <w:tabs>
          <w:tab w:val="num" w:pos="0"/>
        </w:tabs>
        <w:ind w:left="480" w:hanging="480"/>
      </w:pPr>
    </w:lvl>
    <w:lvl w:ilvl="1">
      <w:numFmt w:val="bullet"/>
      <w:lvlText w:val="–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•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–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•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–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•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–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•"/>
      <w:lvlJc w:val="left"/>
      <w:pPr>
        <w:tabs>
          <w:tab w:val="num" w:pos="5760"/>
        </w:tabs>
        <w:ind w:left="6240" w:hanging="48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stylePaneFormatFilter w:val="0004"/>
  <w:footnotePr>
    <w:footnote w:id="-1"/>
    <w:footnote w:id="0"/>
  </w:footnotePr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  <w:rsidRoot w:val="00590D07"/>
    <w:rsid w:val="00011C8B"/>
    <w:rsid w:val="004E29B3"/>
    <w:rsid w:val="00590D07"/>
    <w:rsid w:val="00784D58"/>
    <w:rsid w:val="008D6863"/>
    <w:rsid w:val="00B86B75"/>
    <w:rsid w:val="00BC48D5"/>
    <w:rsid w:val="00C36279"/>
    <w:rsid w:val="00E315A3"/>
  </w:rsids>
  <m:mathPr>
    <m:mathFont m:val="Lucida Grande"/>
    <m:brkBin m:val="before"/>
    <m:brkBinSub m:val="--"/>
    <m:smallFrac m:val="false"/>
    <m:dispDef m:val="false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:proofState w:spelling="clean" w:grammar="clean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</w:style>
  <w:style w:type="paragraph" w:styleId="BodyText">
    <w:name w:val="Body Text"/>
    <w:basedOn w:val="Normal"/>
    <w:link w:val="BodyTextChar"/>
    <w:pPr>
      <w:spacing w:before="180" w:after="180"/>
    </w:pPr>
    <w:qFormat/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qFormat/>
    <w:pPr>
      <w:keepNext/>
      <w:keepLines/>
      <w:spacing w:before="480" w:after="240"/>
      <w:jc w:val="center"/>
    </w:pPr>
    <w:rPr>
      <w:rFonts w:asciiTheme="majorHAnsi" w:eastAsiaTheme="majorEastAsia" w:hAnsiTheme="majorHAnsi" w:cstheme="majorBidi"/>
      <w:b/>
      <w:bCs/>
      <w:color w:val="345A8A" w:themeColor="accent1" w:themeShade="B5"/>
      <w:sz w:val="36"/>
      <w:szCs w:val="36"/>
    </w:rPr>
  </w:style>
  <w:style w:type="paragraph" w:styleId="Subtitle">
    <w:name w:val="Subtitle"/>
    <w:basedOn w:val="Title"/>
    <w:next w:val="BodyText"/>
    <w:qFormat/>
    <w:pPr>
      <w:keepNext/>
      <w:keepLines/>
      <w:spacing w:before="240" w:after="240"/>
      <w:jc w:val="center"/>
    </w:pPr>
    <w:rPr>
      <w:sz w:val="30"/>
      <w:szCs w:val="30"/>
    </w:rPr>
  </w:style>
  <w:style w:type="paragraph" w:customStyle="1" w:styleId="Author">
    <w:name w:val="Author"/>
    <w:next w:val="BodyText"/>
    <w:qFormat/>
    <w:pPr>
      <w:keepNext/>
      <w:keepLines/>
      <w:jc w:val="center"/>
    </w:pPr>
  </w:style>
  <w:style w:type="paragraph" w:styleId="Date">
    <w:name w:val="Date"/>
    <w:next w:val="BodyText"/>
    <w:qFormat/>
    <w:pPr>
      <w:keepNext/>
      <w:keepLines/>
      <w:jc w:val="center"/>
    </w:pPr>
  </w:style>
  <w:style w:type="paragraph" w:customStyle="1" w:styleId="Abstract">
    <w:name w:val="Abstract"/>
    <w:basedOn w:val="Normal"/>
    <w:next w:val="BodyText"/>
    <w:qFormat/>
    <w:pPr>
      <w:keepNext/>
      <w:keepLines/>
      <w:spacing w:before="300" w:after="3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/>
    <w:pPr/>
    <w:rPr/>
  </w:style>
  <w:style w:type="paragraph" w:styleId="Heading1">
    <w:name w:val="Heading 1"/>
    <w:basedOn w:val="Normal"/>
    <w:next w:val="BodyText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4F81BD" w:themeColor="accent1"/>
      <w:sz w:val="32"/>
      <w:szCs w:val="32"/>
    </w:rPr>
  </w:style>
  <w:style w:type="paragraph" w:styleId="Heading2">
    <w:name w:val="Heading 2"/>
    <w:basedOn w:val="Normal"/>
    <w:next w:val="BodyText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8"/>
      <w:szCs w:val="28"/>
    </w:rPr>
  </w:style>
  <w:style w:type="paragraph" w:styleId="Heading3">
    <w:name w:val="Heading 3"/>
    <w:basedOn w:val="Normal"/>
    <w:next w:val="BodyText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Heading4">
    <w:name w:val="Heading 4"/>
    <w:basedOn w:val="Normal"/>
    <w:next w:val="BodyText"/>
    <w:uiPriority w:val="9"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i/>
      <w:bCs/>
      <w:color w:val="4F81BD" w:themeColor="accent1"/>
      <w:sz w:val="24"/>
      <w:szCs w:val="24"/>
    </w:rPr>
  </w:style>
  <w:style w:type="paragraph" w:styleId="Heading5">
    <w:name w:val="Heading 5"/>
    <w:basedOn w:val="Normal"/>
    <w:next w:val="BodyText"/>
    <w:uiPriority w:val="9"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iCs/>
      <w:color w:val="4F81BD" w:themeColor="accent1"/>
      <w:sz w:val="24"/>
      <w:szCs w:val="24"/>
    </w:rPr>
  </w:style>
  <w:style w:type="paragraph" w:styleId="Heading6">
    <w:name w:val="Heading 6"/>
    <w:basedOn w:val="Normal"/>
    <w:next w:val="BodyText"/>
    <w:uiPriority w:val="9"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Heading7">
    <w:name w:val="Heading 7"/>
    <w:basedOn w:val="Normal"/>
    <w:next w:val="BodyText"/>
    <w:uiPriority w:val="9"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Heading8">
    <w:name w:val="Heading 8"/>
    <w:basedOn w:val="Normal"/>
    <w:next w:val="BodyText"/>
    <w:uiPriority w:val="9"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Heading9">
    <w:name w:val="Heading 9"/>
    <w:basedOn w:val="Normal"/>
    <w:next w:val="BodyText"/>
    <w:uiPriority w:val="9"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firstLine="0" w:left="480" w:right="480"/>
    </w:pPr>
  </w:style>
  <w:style w:type="paragraph" w:styleId="FootnoteText">
    <w:name w:val="Footnote Text"/>
    <w:basedOn w:val="Normal"/>
    <w:next w:val="FootnoteText"/>
    <w:uiPriority w:val="9"/>
    <w:unhideWhenUsed/>
    <w:qFormat/>
  </w:style>
  <w:style w:type="character" w:default="1" w:styleId="DefaultParagraphFont">
    <w:name w:val="Default Paragraph Font"/>
    <w:semiHidden/>
    <w:unhideWhenUsed/>
  </w:style>
  <w:style w:type="table" w:default="1" w:styleId="Table">
    <w:name w:val="Table"/>
    <w:basedOn w:val="TableNormal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BodyTextChar"/>
    <w:pPr>
      <w:spacing w:before="0"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odyTextChar">
    <w:name w:val="Body Text Char"/>
    <w:basedOn w:val="DefaultParagraphFont"/>
    <w:link w:val="BodyText"/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basedOn w:val="BodyText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
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
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2026-09-12T10:35:35Z</dcterms:created>
  <dcterms:modified xsi:type="dcterms:W3CDTF">2026-09-12T10:35:35Z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