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iso9001体系文件套包25内部审核程序9.2"/>
      <w:r>
        <w:t xml:space="preserve">ISO9001体系文件套包（25）｜内部审核程序（9.2）</w:t>
      </w:r>
      <w:bookmarkEnd w:id="20"/>
    </w:p>
    <w:p>
      <w:pPr>
        <w:pStyle w:val="BlockText"/>
      </w:pPr>
      <w:r>
        <w:rPr>
          <w:b/>
        </w:rPr>
        <w:t xml:space="preserve">文件说明</w:t>
      </w:r>
      <w:r>
        <w:t xml:space="preserve">：本程序对应 ISO 9001:2015 标准条款 9.2</w:t>
      </w:r>
      <w:r>
        <w:t xml:space="preserve">“</w:t>
      </w:r>
      <w:r>
        <w:t xml:space="preserve">内部审核</w:t>
      </w:r>
      <w:r>
        <w:t xml:space="preserve">”</w:t>
      </w:r>
      <w:r>
        <w:t xml:space="preserve">，是质量管理体系</w:t>
      </w:r>
      <w:r>
        <w:t xml:space="preserve">“</w:t>
      </w:r>
      <w:r>
        <w:t xml:space="preserve">绩效评价</w:t>
      </w:r>
      <w:r>
        <w:t xml:space="preserve">”</w:t>
      </w:r>
      <w:r>
        <w:t xml:space="preserve">板块中验证体系符合性与有效性的核心程序，也是迎接认证审核前企业自我体检的标准动作。它的作用在于以系统、独立、形成文件的方式，定期检查体系运行是否满足标准要求、是否符合企业自身文件规定、是否得到有效实施和保持，并在外部审核之前提前发现并消除不符合项。9.2 是认证审核员必查条款，核查重点通常包括：内审是否覆盖全部条款与过程、审核员是否审核自己的工作、不符合项是否按期关闭并验证有效、内审结果是否作为管理评审输入。本程序适用于各类制造与服务企业，尤其适合即将迎接认证或外审前需要系统自查的中小企业，可直接套用并按组织规模裁剪。</w:t>
      </w:r>
    </w:p>
    <w:p>
      <w:pPr>
        <w:pStyle w:val="Heading2"/>
      </w:pPr>
      <w:bookmarkStart w:id="21" w:name="一目的"/>
      <w:r>
        <w:t xml:space="preserve">一、目的</w:t>
      </w:r>
      <w:bookmarkEnd w:id="21"/>
    </w:p>
    <w:p>
      <w:pPr>
        <w:pStyle w:val="FirstParagraph"/>
      </w:pPr>
      <w:r>
        <w:t xml:space="preserve">规范本公司内部质量管理体系审核的策划、实施、报告与跟踪验证流程，确保质量管理体系：</w:t>
      </w:r>
    </w:p>
    <w:p>
      <w:pPr>
        <w:numPr>
          <w:ilvl w:val="0"/>
          <w:numId w:val="1001"/>
        </w:numPr>
        <w:pStyle w:val="Compact"/>
      </w:pPr>
      <w:r>
        <w:t xml:space="preserve">符合 ISO 9001:2015 标准的要求以及本公司质量管理体系文件的规定；</w:t>
      </w:r>
    </w:p>
    <w:p>
      <w:pPr>
        <w:numPr>
          <w:ilvl w:val="0"/>
          <w:numId w:val="1001"/>
        </w:numPr>
        <w:pStyle w:val="Compact"/>
      </w:pPr>
      <w:r>
        <w:t xml:space="preserve">得到正确的实施和保持；</w:t>
      </w:r>
    </w:p>
    <w:p>
      <w:pPr>
        <w:numPr>
          <w:ilvl w:val="0"/>
          <w:numId w:val="1001"/>
        </w:numPr>
        <w:pStyle w:val="Compact"/>
      </w:pPr>
      <w:r>
        <w:t xml:space="preserve">持续满足质量方针、质量目标、顾客要求与适用法律法规要求，并为改进提供输入。</w:t>
      </w:r>
    </w:p>
    <w:p>
      <w:pPr>
        <w:pStyle w:val="Heading2"/>
      </w:pPr>
      <w:bookmarkStart w:id="22" w:name="二适用范围"/>
      <w:r>
        <w:t xml:space="preserve">二、适用范围</w:t>
      </w:r>
      <w:bookmarkEnd w:id="22"/>
    </w:p>
    <w:p>
      <w:pPr>
        <w:pStyle w:val="FirstParagraph"/>
      </w:pPr>
      <w:r>
        <w:t xml:space="preserve">适用于本公司质量管理体系覆盖范围内的所有部门、过程和场所，包括管理层、各职能部门、生产车间、库房、检验场所及驻外服务点等。</w:t>
      </w:r>
    </w:p>
    <w:p>
      <w:pPr>
        <w:pStyle w:val="BodyText"/>
      </w:pPr>
      <w:r>
        <w:t xml:space="preserve">必要时（如对关键供方的第二方审核），可参照本程序执行，审核目的、准则与组织方式由归口部门另行确定。本程序不替代法律法规或顾客对特定审核（如专项安全审核、顾客指定审核）的要求。</w:t>
      </w:r>
    </w:p>
    <w:p>
      <w:pPr>
        <w:pStyle w:val="Heading2"/>
      </w:pPr>
      <w:bookmarkStart w:id="23" w:name="三职责"/>
      <w:r>
        <w:t xml:space="preserve">三、职责</w:t>
      </w:r>
      <w:bookmarkEnd w:id="23"/>
    </w:p>
    <w:tbl>
      <w:tblPr>
        <w:tblStyle w:val="Table"/>
        <w:tblW w:type="pct" w:w="0.0"/>
        <w:tblLook w:firstRow="1"/>
      </w:tblPr>
      <w:tblGrid/>
      <w:tr>
        <w:trPr>
          <w:cnfStyle w:firstRow="1"/>
        </w:trPr>
        <w:tc>
          <w:tcPr>
            <w:tcBorders>
              <w:bottom w:val="single"/>
            </w:tcBorders>
            <w:vAlign w:val="bottom"/>
          </w:tcPr>
          <w:p>
            <w:pPr>
              <w:pStyle w:val="Compact"/>
              <w:jc w:val="left"/>
            </w:pPr>
            <w:r>
              <w:t xml:space="preserve">责任部门/岗位</w:t>
            </w:r>
          </w:p>
        </w:tc>
        <w:tc>
          <w:tcPr>
            <w:tcBorders>
              <w:bottom w:val="single"/>
            </w:tcBorders>
            <w:vAlign w:val="bottom"/>
          </w:tcPr>
          <w:p>
            <w:pPr>
              <w:pStyle w:val="Compact"/>
              <w:jc w:val="left"/>
            </w:pPr>
            <w:r>
              <w:t xml:space="preserve">职责内容</w:t>
            </w:r>
          </w:p>
        </w:tc>
      </w:tr>
      <w:tr>
        <w:tc>
          <w:p>
            <w:pPr>
              <w:pStyle w:val="Compact"/>
              <w:jc w:val="left"/>
            </w:pPr>
            <w:r>
              <w:t xml:space="preserve">总经理</w:t>
            </w:r>
          </w:p>
        </w:tc>
        <w:tc>
          <w:p>
            <w:pPr>
              <w:pStyle w:val="Compact"/>
              <w:jc w:val="left"/>
            </w:pPr>
            <w:r>
              <w:t xml:space="preserve">批准《年度内部审核计划》与《内部审核报告》；为内审提供资源保障；任命审核组长（或授权管理者代表任命）</w:t>
            </w:r>
          </w:p>
        </w:tc>
      </w:tr>
      <w:tr>
        <w:tc>
          <w:p>
            <w:pPr>
              <w:pStyle w:val="Compact"/>
              <w:jc w:val="left"/>
            </w:pPr>
            <w:r>
              <w:t xml:space="preserve">管理者代表</w:t>
            </w:r>
          </w:p>
        </w:tc>
        <w:tc>
          <w:p>
            <w:pPr>
              <w:pStyle w:val="Compact"/>
              <w:jc w:val="left"/>
            </w:pPr>
            <w:r>
              <w:t xml:space="preserve">审核年度内审计划；协调审核资源；审批不符合项纠正措施的有效性结论；将内审结果提交管理评审</w:t>
            </w:r>
          </w:p>
        </w:tc>
      </w:tr>
      <w:tr>
        <w:tc>
          <w:p>
            <w:pPr>
              <w:pStyle w:val="Compact"/>
              <w:jc w:val="left"/>
            </w:pPr>
            <w:r>
              <w:t xml:space="preserve">归口管理部门（品质部/企管部）</w:t>
            </w:r>
          </w:p>
        </w:tc>
        <w:tc>
          <w:p>
            <w:pPr>
              <w:pStyle w:val="Compact"/>
              <w:jc w:val="left"/>
            </w:pPr>
            <w:r>
              <w:t xml:space="preserve">编制年度内部审核计划；组建审核组并办理内审员授权；归口管理内审记录；跟踪不符合项整改闭环</w:t>
            </w:r>
          </w:p>
        </w:tc>
      </w:tr>
      <w:tr>
        <w:tc>
          <w:p>
            <w:pPr>
              <w:pStyle w:val="Compact"/>
              <w:jc w:val="left"/>
            </w:pPr>
            <w:r>
              <w:t xml:space="preserve">审核组长</w:t>
            </w:r>
          </w:p>
        </w:tc>
        <w:tc>
          <w:p>
            <w:pPr>
              <w:pStyle w:val="Compact"/>
              <w:jc w:val="left"/>
            </w:pPr>
            <w:r>
              <w:t xml:space="preserve">编制审核实施计划；组织编制检查表；主持首、末次会议；分配审核任务；汇总审核发现，编制内部审核报告</w:t>
            </w:r>
          </w:p>
        </w:tc>
      </w:tr>
      <w:tr>
        <w:tc>
          <w:p>
            <w:pPr>
              <w:pStyle w:val="Compact"/>
              <w:jc w:val="left"/>
            </w:pPr>
            <w:r>
              <w:t xml:space="preserve">内审员</w:t>
            </w:r>
          </w:p>
        </w:tc>
        <w:tc>
          <w:p>
            <w:pPr>
              <w:pStyle w:val="Compact"/>
              <w:jc w:val="left"/>
            </w:pPr>
            <w:r>
              <w:t xml:space="preserve">按分工编制检查表并实施现场审核；收集客观证据；开具不符合项报告；参加首、末次会议</w:t>
            </w:r>
          </w:p>
        </w:tc>
      </w:tr>
      <w:tr>
        <w:tc>
          <w:p>
            <w:pPr>
              <w:pStyle w:val="Compact"/>
              <w:jc w:val="left"/>
            </w:pPr>
            <w:r>
              <w:t xml:space="preserve">受审部门负责人</w:t>
            </w:r>
          </w:p>
        </w:tc>
        <w:tc>
          <w:p>
            <w:pPr>
              <w:pStyle w:val="Compact"/>
              <w:jc w:val="left"/>
            </w:pPr>
            <w:r>
              <w:t xml:space="preserve">配合审核组安排人员与现场；提供客观证据；对不符合项分析原因、制定并实施纠正措施；反馈验证结果</w:t>
            </w:r>
          </w:p>
        </w:tc>
      </w:tr>
    </w:tbl>
    <w:p>
      <w:pPr>
        <w:pStyle w:val="BodyText"/>
      </w:pPr>
      <w:r>
        <w:t xml:space="preserve">内审员应经培训合格并获授权，且不得审核自己的工作（含本部门及本人参与策划、实施或验证的过程）。</w:t>
      </w:r>
    </w:p>
    <w:p>
      <w:pPr>
        <w:pStyle w:val="Heading2"/>
      </w:pPr>
      <w:bookmarkStart w:id="24" w:name="四工作程序"/>
      <w:r>
        <w:t xml:space="preserve">四、工作程序</w:t>
      </w:r>
      <w:bookmarkEnd w:id="24"/>
    </w:p>
    <w:p>
      <w:pPr>
        <w:pStyle w:val="Heading3"/>
      </w:pPr>
      <w:bookmarkStart w:id="25" w:name="年度审核方案的策划"/>
      <w:r>
        <w:t xml:space="preserve">4.1 年度审核方案的策划</w:t>
      </w:r>
      <w:bookmarkEnd w:id="25"/>
    </w:p>
    <w:p>
      <w:pPr>
        <w:numPr>
          <w:ilvl w:val="0"/>
          <w:numId w:val="1002"/>
        </w:numPr>
        <w:pStyle w:val="Compact"/>
      </w:pPr>
      <w:r>
        <w:t xml:space="preserve">归口管理部门于每年 12 月编制下一年度《年度内部审核计划》，经管理者代表审核、总经理批准后发放至各部门。</w:t>
      </w:r>
    </w:p>
    <w:p>
      <w:pPr>
        <w:numPr>
          <w:ilvl w:val="0"/>
          <w:numId w:val="1002"/>
        </w:numPr>
        <w:pStyle w:val="Compact"/>
      </w:pPr>
      <w:r>
        <w:t xml:space="preserve">年度审核方案应确保质量管理体系每个过程至少每年审核一次；两次审核间隔原则上不超过 12 个月。</w:t>
      </w:r>
    </w:p>
    <w:p>
      <w:pPr>
        <w:numPr>
          <w:ilvl w:val="0"/>
          <w:numId w:val="1002"/>
        </w:numPr>
        <w:pStyle w:val="Compact"/>
      </w:pPr>
      <w:r>
        <w:t xml:space="preserve">审核频次和审核范围的确定应考虑以下因素：</w:t>
      </w:r>
    </w:p>
    <w:p>
      <w:pPr>
        <w:numPr>
          <w:ilvl w:val="1"/>
          <w:numId w:val="1003"/>
        </w:numPr>
        <w:pStyle w:val="Compact"/>
      </w:pPr>
      <w:r>
        <w:t xml:space="preserve">相关过程的重要性及对产品质量的影响程度；</w:t>
      </w:r>
    </w:p>
    <w:p>
      <w:pPr>
        <w:numPr>
          <w:ilvl w:val="1"/>
          <w:numId w:val="1003"/>
        </w:numPr>
        <w:pStyle w:val="Compact"/>
      </w:pPr>
      <w:r>
        <w:t xml:space="preserve">过程和体系的绩效表现、以往审核结果及不符合项分布；</w:t>
      </w:r>
    </w:p>
    <w:p>
      <w:pPr>
        <w:numPr>
          <w:ilvl w:val="1"/>
          <w:numId w:val="1003"/>
        </w:numPr>
        <w:pStyle w:val="Compact"/>
      </w:pPr>
      <w:r>
        <w:t xml:space="preserve">组织环境与相关方要求的变化、重大变更（组织机构调整、新生产线、新产品导入等）；</w:t>
      </w:r>
    </w:p>
    <w:p>
      <w:pPr>
        <w:numPr>
          <w:ilvl w:val="1"/>
          <w:numId w:val="1003"/>
        </w:numPr>
        <w:pStyle w:val="Compact"/>
      </w:pPr>
      <w:r>
        <w:t xml:space="preserve">顾客投诉、外部审核发现及管理评审输出。</w:t>
      </w:r>
    </w:p>
    <w:p>
      <w:pPr>
        <w:numPr>
          <w:ilvl w:val="0"/>
          <w:numId w:val="1002"/>
        </w:numPr>
        <w:pStyle w:val="Compact"/>
      </w:pPr>
      <w:r>
        <w:t xml:space="preserve">出现下列情况之一时，可追加临时审核：发生重大质量事故或顾客重大投诉；组织机构或产品结构发生重大变化；外部审核前；总经理或管理者代表认为有必要时。</w:t>
      </w:r>
    </w:p>
    <w:p>
      <w:pPr>
        <w:pStyle w:val="Heading3"/>
      </w:pPr>
      <w:bookmarkStart w:id="26" w:name="审核目的与准则"/>
      <w:r>
        <w:t xml:space="preserve">4.2 审核目的与准则</w:t>
      </w:r>
      <w:bookmarkEnd w:id="26"/>
    </w:p>
    <w:p>
      <w:pPr>
        <w:pStyle w:val="FirstParagraph"/>
      </w:pPr>
      <w:r>
        <w:t xml:space="preserve">每次内审前应明确：</w:t>
      </w:r>
    </w:p>
    <w:p>
      <w:pPr>
        <w:numPr>
          <w:ilvl w:val="0"/>
          <w:numId w:val="1004"/>
        </w:numPr>
        <w:pStyle w:val="Compact"/>
      </w:pPr>
      <w:r>
        <w:t xml:space="preserve">审核目的：评价体系运行的符合性、有效性，识别改进机会；</w:t>
      </w:r>
    </w:p>
    <w:p>
      <w:pPr>
        <w:numPr>
          <w:ilvl w:val="0"/>
          <w:numId w:val="1004"/>
        </w:numPr>
        <w:pStyle w:val="Compact"/>
      </w:pPr>
      <w:r>
        <w:t xml:space="preserve">审核准则（审核依据）：</w:t>
      </w:r>
    </w:p>
    <w:p>
      <w:pPr>
        <w:numPr>
          <w:ilvl w:val="1"/>
          <w:numId w:val="1005"/>
        </w:numPr>
        <w:pStyle w:val="Compact"/>
      </w:pPr>
      <w:r>
        <w:t xml:space="preserve">ISO 9001:2015《质量管理体系 要求》；</w:t>
      </w:r>
    </w:p>
    <w:p>
      <w:pPr>
        <w:numPr>
          <w:ilvl w:val="1"/>
          <w:numId w:val="1005"/>
        </w:numPr>
        <w:pStyle w:val="Compact"/>
      </w:pPr>
      <w:r>
        <w:t xml:space="preserve">本公司质量管理体系文件（质量手册、程序文件、作业指导书等）；</w:t>
      </w:r>
    </w:p>
    <w:p>
      <w:pPr>
        <w:numPr>
          <w:ilvl w:val="1"/>
          <w:numId w:val="1005"/>
        </w:numPr>
        <w:pStyle w:val="Compact"/>
      </w:pPr>
      <w:r>
        <w:t xml:space="preserve">适用法律法规、标准及顾客要求；</w:t>
      </w:r>
    </w:p>
    <w:p>
      <w:pPr>
        <w:numPr>
          <w:ilvl w:val="1"/>
          <w:numId w:val="1005"/>
        </w:numPr>
        <w:pStyle w:val="Compact"/>
      </w:pPr>
      <w:r>
        <w:t xml:space="preserve">上期审核报告、纠正措施及管理评审输出中涉及的要求。</w:t>
      </w:r>
    </w:p>
    <w:p>
      <w:pPr>
        <w:numPr>
          <w:ilvl w:val="0"/>
          <w:numId w:val="1004"/>
        </w:numPr>
        <w:pStyle w:val="Compact"/>
      </w:pPr>
      <w:r>
        <w:t xml:space="preserve">审核范围：覆盖的部门、过程、场所及条款。</w:t>
      </w:r>
    </w:p>
    <w:p>
      <w:pPr>
        <w:pStyle w:val="Heading3"/>
      </w:pPr>
      <w:bookmarkStart w:id="27" w:name="审核组组建与授权"/>
      <w:r>
        <w:t xml:space="preserve">4.3 审核组组建与授权</w:t>
      </w:r>
      <w:bookmarkEnd w:id="27"/>
    </w:p>
    <w:p>
      <w:pPr>
        <w:numPr>
          <w:ilvl w:val="0"/>
          <w:numId w:val="1006"/>
        </w:numPr>
        <w:pStyle w:val="Compact"/>
      </w:pPr>
      <w:r>
        <w:t xml:space="preserve">管理者代表或归口管理部门根据审核范围确定审核组长及审核组成员，报管理者代表批准后，以《内审员授权书》形式正式授权。</w:t>
      </w:r>
    </w:p>
    <w:p>
      <w:pPr>
        <w:numPr>
          <w:ilvl w:val="0"/>
          <w:numId w:val="1006"/>
        </w:numPr>
        <w:pStyle w:val="Compact"/>
      </w:pPr>
      <w:r>
        <w:t xml:space="preserve">审核组应具备相应能力，至少由两名内审员组成；审核组长应具备组织协调能力与完整的内审经历。</w:t>
      </w:r>
    </w:p>
    <w:p>
      <w:pPr>
        <w:numPr>
          <w:ilvl w:val="0"/>
          <w:numId w:val="1006"/>
        </w:numPr>
        <w:pStyle w:val="Compact"/>
      </w:pPr>
      <w:r>
        <w:t xml:space="preserve">审核组分工应确保独立性：审核员不得审核自己承担职责或直接参与的工作。</w:t>
      </w:r>
    </w:p>
    <w:p>
      <w:pPr>
        <w:pStyle w:val="Heading3"/>
      </w:pPr>
      <w:bookmarkStart w:id="28" w:name="审核准备"/>
      <w:r>
        <w:t xml:space="preserve">4.4 审核准备</w:t>
      </w:r>
      <w:bookmarkEnd w:id="28"/>
    </w:p>
    <w:p>
      <w:pPr>
        <w:numPr>
          <w:ilvl w:val="0"/>
          <w:numId w:val="1007"/>
        </w:numPr>
        <w:pStyle w:val="Compact"/>
      </w:pPr>
      <w:r>
        <w:t xml:space="preserve">审核组长编制《内部审核实施计划》，明确审核目的、范围、准则、日程安排、审核组分工及受审部门，提前 5～7 个工作日发放至受审部门确认。受审部门对时间安排有异议时，应在收到计划后 2 个工作日内提出，由审核组长协调调整。</w:t>
      </w:r>
    </w:p>
    <w:p>
      <w:pPr>
        <w:numPr>
          <w:ilvl w:val="0"/>
          <w:numId w:val="1007"/>
        </w:numPr>
        <w:pStyle w:val="Compact"/>
      </w:pPr>
      <w:r>
        <w:t xml:space="preserve">审核员按分工学习相关文件，依据</w:t>
      </w:r>
      <w:r>
        <w:t xml:space="preserve">“</w:t>
      </w:r>
      <w:r>
        <w:t xml:space="preserve">过程方法</w:t>
      </w:r>
      <w:r>
        <w:t xml:space="preserve">”</w:t>
      </w:r>
      <w:r>
        <w:t xml:space="preserve">（乌龟图五要素：输入、输出、活动、资源、绩效指标）及 PDCA 循环，编写《内部审核检查表》。检查表内容应包括：受审过程、对应条款、审核要点、审核方法（询问、查阅、观察）、记录栏。</w:t>
      </w:r>
    </w:p>
    <w:p>
      <w:pPr>
        <w:numPr>
          <w:ilvl w:val="0"/>
          <w:numId w:val="1007"/>
        </w:numPr>
        <w:pStyle w:val="Compact"/>
      </w:pPr>
      <w:r>
        <w:t xml:space="preserve">检查表由审核组长审核确认后使用；审核过程中可根据现场情况合理增删审核内容，但不得遗漏关键条款与重要过程。</w:t>
      </w:r>
    </w:p>
    <w:p>
      <w:pPr>
        <w:pStyle w:val="Heading3"/>
      </w:pPr>
      <w:bookmarkStart w:id="29" w:name="首次会议"/>
      <w:r>
        <w:t xml:space="preserve">4.5 首次会议</w:t>
      </w:r>
      <w:bookmarkEnd w:id="29"/>
    </w:p>
    <w:p>
      <w:pPr>
        <w:numPr>
          <w:ilvl w:val="0"/>
          <w:numId w:val="1008"/>
        </w:numPr>
        <w:pStyle w:val="Compact"/>
      </w:pPr>
      <w:r>
        <w:t xml:space="preserve">现场审核开始前召开首次会议，参加人员：审核组全体成员、受审部门负责人及相关陪同人员，由审核组长主持，时间控制在 20～30 分钟。</w:t>
      </w:r>
    </w:p>
    <w:p>
      <w:pPr>
        <w:numPr>
          <w:ilvl w:val="0"/>
          <w:numId w:val="1008"/>
        </w:numPr>
        <w:pStyle w:val="Compact"/>
      </w:pPr>
      <w:r>
        <w:t xml:space="preserve">首次会议内容：介绍审核目的、范围、准则与日程；确认审核方法（抽样、询问、现场观察、查阅记录）；说明不符合项判定与沟通方式；确认陪同人员及必要的资源；保密声明。</w:t>
      </w:r>
    </w:p>
    <w:p>
      <w:pPr>
        <w:numPr>
          <w:ilvl w:val="0"/>
          <w:numId w:val="1008"/>
        </w:numPr>
        <w:pStyle w:val="Compact"/>
      </w:pPr>
      <w:r>
        <w:t xml:space="preserve">会议应形成《会议签到表》，由参会人员签字确认。</w:t>
      </w:r>
    </w:p>
    <w:p>
      <w:pPr>
        <w:pStyle w:val="Heading3"/>
      </w:pPr>
      <w:bookmarkStart w:id="30" w:name="现场审核实施"/>
      <w:r>
        <w:t xml:space="preserve">4.6 现场审核实施</w:t>
      </w:r>
      <w:bookmarkEnd w:id="30"/>
    </w:p>
    <w:p>
      <w:pPr>
        <w:numPr>
          <w:ilvl w:val="0"/>
          <w:numId w:val="1009"/>
        </w:numPr>
        <w:pStyle w:val="Compact"/>
      </w:pPr>
      <w:r>
        <w:t xml:space="preserve">审核员依据检查表，通过询问交谈、查阅文件与记录、现场观察、抽样验证等方式收集客观证据；抽样应具有代表性，样本量应与过程风险相适应。</w:t>
      </w:r>
    </w:p>
    <w:p>
      <w:pPr>
        <w:numPr>
          <w:ilvl w:val="0"/>
          <w:numId w:val="1009"/>
        </w:numPr>
        <w:pStyle w:val="Compact"/>
      </w:pPr>
      <w:r>
        <w:t xml:space="preserve">审核发现应记录在检查表上，注明证据（文件编号、记录名称、时间、地点、人员等），做到</w:t>
      </w:r>
      <w:r>
        <w:t xml:space="preserve">“</w:t>
      </w:r>
      <w:r>
        <w:t xml:space="preserve">事事有据可查</w:t>
      </w:r>
      <w:r>
        <w:t xml:space="preserve">”</w:t>
      </w:r>
      <w:r>
        <w:t xml:space="preserve">。</w:t>
      </w:r>
    </w:p>
    <w:p>
      <w:pPr>
        <w:numPr>
          <w:ilvl w:val="0"/>
          <w:numId w:val="1009"/>
        </w:numPr>
        <w:pStyle w:val="Compact"/>
      </w:pPr>
      <w:r>
        <w:t xml:space="preserve">对收集的证据进行分析，判定符合项与不符合项。不符合项按严重程度分为：</w:t>
      </w:r>
    </w:p>
    <w:p>
      <w:pPr>
        <w:numPr>
          <w:ilvl w:val="1"/>
          <w:numId w:val="1010"/>
        </w:numPr>
        <w:pStyle w:val="Compact"/>
      </w:pPr>
      <w:r>
        <w:rPr>
          <w:b/>
        </w:rPr>
        <w:t xml:space="preserve">严重不符合</w:t>
      </w:r>
      <w:r>
        <w:t xml:space="preserve">：体系性缺失（如某条款完全没有实施）、系统性失效（同类问题大量重复出现）、造成严重后果（如产品批量不合格仍放行）或导致体系失效的严重违规；</w:t>
      </w:r>
    </w:p>
    <w:p>
      <w:pPr>
        <w:numPr>
          <w:ilvl w:val="1"/>
          <w:numId w:val="1010"/>
        </w:numPr>
        <w:pStyle w:val="Compact"/>
      </w:pPr>
      <w:r>
        <w:rPr>
          <w:b/>
        </w:rPr>
        <w:t xml:space="preserve">一般不符合</w:t>
      </w:r>
      <w:r>
        <w:t xml:space="preserve">：个别的、孤立的未能满足要求的事项，未造成严重后果；</w:t>
      </w:r>
    </w:p>
    <w:p>
      <w:pPr>
        <w:numPr>
          <w:ilvl w:val="1"/>
          <w:numId w:val="1010"/>
        </w:numPr>
        <w:pStyle w:val="Compact"/>
      </w:pPr>
      <w:r>
        <w:rPr>
          <w:b/>
        </w:rPr>
        <w:t xml:space="preserve">观察项/改进机会</w:t>
      </w:r>
      <w:r>
        <w:t xml:space="preserve">：证据不足但存在隐患或可改进的环节，不开不符合项，以口头或书面形式提示受审方改进。</w:t>
      </w:r>
    </w:p>
    <w:p>
      <w:pPr>
        <w:numPr>
          <w:ilvl w:val="0"/>
          <w:numId w:val="1009"/>
        </w:numPr>
        <w:pStyle w:val="Compact"/>
      </w:pPr>
      <w:r>
        <w:t xml:space="preserve">开具不符合项报告前，审核员应与受审部门沟通确认事实；受审部门对判定有异议时，由审核组长与受审部门负责人核实后裁定。</w:t>
      </w:r>
    </w:p>
    <w:p>
      <w:pPr>
        <w:numPr>
          <w:ilvl w:val="0"/>
          <w:numId w:val="1009"/>
        </w:numPr>
        <w:pStyle w:val="Compact"/>
      </w:pPr>
      <w:r>
        <w:t xml:space="preserve">审核员不得向受审方提出具体整改方案或代替受审方分析原因，以保持审核的独立性。</w:t>
      </w:r>
    </w:p>
    <w:p>
      <w:pPr>
        <w:pStyle w:val="Heading3"/>
      </w:pPr>
      <w:bookmarkStart w:id="31" w:name="末次会议"/>
      <w:r>
        <w:t xml:space="preserve">4.7 末次会议</w:t>
      </w:r>
      <w:bookmarkEnd w:id="31"/>
    </w:p>
    <w:p>
      <w:pPr>
        <w:numPr>
          <w:ilvl w:val="0"/>
          <w:numId w:val="1011"/>
        </w:numPr>
        <w:pStyle w:val="Compact"/>
      </w:pPr>
      <w:r>
        <w:t xml:space="preserve">现场审核结束后召开末次会议，参加人员同首次会议。审核组长通报审核总体情况、宣读不符合项报告，宣布审核结论（推荐通过/有条件通过/需整改后复审），并说明后续纠正措施与验证要求。</w:t>
      </w:r>
    </w:p>
    <w:p>
      <w:pPr>
        <w:numPr>
          <w:ilvl w:val="0"/>
          <w:numId w:val="1011"/>
        </w:numPr>
        <w:pStyle w:val="Compact"/>
      </w:pPr>
      <w:r>
        <w:t xml:space="preserve">末次会议同样形成《会议签到表》。受审部门对不符合项报告确认签字，一式两份（受审部门一份、归口管理部门一份）。</w:t>
      </w:r>
    </w:p>
    <w:p>
      <w:pPr>
        <w:pStyle w:val="Heading3"/>
      </w:pPr>
      <w:bookmarkStart w:id="32" w:name="审核报告"/>
      <w:r>
        <w:t xml:space="preserve">4.8 审核报告</w:t>
      </w:r>
      <w:bookmarkEnd w:id="32"/>
    </w:p>
    <w:p>
      <w:pPr>
        <w:numPr>
          <w:ilvl w:val="0"/>
          <w:numId w:val="1012"/>
        </w:numPr>
        <w:pStyle w:val="Compact"/>
      </w:pPr>
      <w:r>
        <w:t xml:space="preserve">审核组长在末次会议后 5～7 个工作日内编制《内部审核报告》，内容包括：审核目的、范围、准则、审核组组成、审核日期与过程概述、审核发现综述、不符合项统计分析（可按条款/部门分布）、体系运行有效性综合评价、审核结论及改进建议。</w:t>
      </w:r>
    </w:p>
    <w:p>
      <w:pPr>
        <w:numPr>
          <w:ilvl w:val="0"/>
          <w:numId w:val="1012"/>
        </w:numPr>
        <w:pStyle w:val="Compact"/>
      </w:pPr>
      <w:r>
        <w:t xml:space="preserve">审核报告经管理者代表审核、总经理批准后，由归口管理部门按《文件控制程序》发放至相关部门，并作为管理评审的固定输入。</w:t>
      </w:r>
    </w:p>
    <w:p>
      <w:pPr>
        <w:numPr>
          <w:ilvl w:val="0"/>
          <w:numId w:val="1012"/>
        </w:numPr>
        <w:pStyle w:val="Compact"/>
      </w:pPr>
      <w:r>
        <w:t xml:space="preserve">整个内审过程从首次会议到报告发放，周期原则上控制在 10～15 个工作日内完成。</w:t>
      </w:r>
    </w:p>
    <w:p>
      <w:pPr>
        <w:pStyle w:val="Heading3"/>
      </w:pPr>
      <w:bookmarkStart w:id="33" w:name="纠正措施与跟踪验证"/>
      <w:r>
        <w:t xml:space="preserve">4.9 纠正措施与跟踪验证</w:t>
      </w:r>
      <w:bookmarkEnd w:id="33"/>
    </w:p>
    <w:p>
      <w:pPr>
        <w:numPr>
          <w:ilvl w:val="0"/>
          <w:numId w:val="1013"/>
        </w:numPr>
        <w:pStyle w:val="Compact"/>
      </w:pPr>
      <w:r>
        <w:t xml:space="preserve">受审部门负责人组织对不符合项进行原因分析，在《不符合项报告》上填写纠正措施（含完成期限），一般不符合的纠正措施期限为 10～15 个工作日，严重不符合由管理者代表确定期限，原则上不超过 30 个工作日。</w:t>
      </w:r>
    </w:p>
    <w:p>
      <w:pPr>
        <w:numPr>
          <w:ilvl w:val="0"/>
          <w:numId w:val="1013"/>
        </w:numPr>
        <w:pStyle w:val="Compact"/>
      </w:pPr>
      <w:r>
        <w:t xml:space="preserve">纠正措施的实施按《不合格与纠正措施程序》执行。</w:t>
      </w:r>
    </w:p>
    <w:p>
      <w:pPr>
        <w:numPr>
          <w:ilvl w:val="0"/>
          <w:numId w:val="1013"/>
        </w:numPr>
        <w:pStyle w:val="Compact"/>
      </w:pPr>
      <w:r>
        <w:t xml:space="preserve">审核组（或归口管理部门指派的内审员）在整改期限到期后对不符合项进行跟踪验证：</w:t>
      </w:r>
    </w:p>
    <w:p>
      <w:pPr>
        <w:numPr>
          <w:ilvl w:val="1"/>
          <w:numId w:val="1014"/>
        </w:numPr>
        <w:pStyle w:val="Compact"/>
      </w:pPr>
      <w:r>
        <w:t xml:space="preserve">验证方式：查阅整改证据、现场复查、询问相关人员等；</w:t>
      </w:r>
    </w:p>
    <w:p>
      <w:pPr>
        <w:numPr>
          <w:ilvl w:val="1"/>
          <w:numId w:val="1014"/>
        </w:numPr>
        <w:pStyle w:val="Compact"/>
      </w:pPr>
      <w:r>
        <w:t xml:space="preserve">验证内容：纠正是否完成、原因分析是否到位、纠正措施是否有效、是否举一反三；</w:t>
      </w:r>
    </w:p>
    <w:p>
      <w:pPr>
        <w:numPr>
          <w:ilvl w:val="1"/>
          <w:numId w:val="1014"/>
        </w:numPr>
        <w:pStyle w:val="Compact"/>
      </w:pPr>
      <w:r>
        <w:t xml:space="preserve">验证结论记入《不符合项报告》相应栏目，由验证人签字确认。验证无效的，退回重新整改并重新验证。</w:t>
      </w:r>
    </w:p>
    <w:p>
      <w:pPr>
        <w:numPr>
          <w:ilvl w:val="0"/>
          <w:numId w:val="1013"/>
        </w:numPr>
        <w:pStyle w:val="Compact"/>
      </w:pPr>
      <w:r>
        <w:t xml:space="preserve">所有不符合项关闭后，归口管理部门汇总整改情况，必要时形成补充报告报管理者代表。</w:t>
      </w:r>
    </w:p>
    <w:p>
      <w:pPr>
        <w:pStyle w:val="Heading3"/>
      </w:pPr>
      <w:bookmarkStart w:id="34" w:name="流程图文字版"/>
      <w:r>
        <w:t xml:space="preserve">4.10 流程图文字版</w:t>
      </w:r>
      <w:bookmarkEnd w:id="34"/>
    </w:p>
    <w:p>
      <w:pPr>
        <w:pStyle w:val="SourceCode"/>
      </w:pPr>
      <w:r>
        <w:rPr>
          <w:rStyle w:val="VerbatimChar"/>
        </w:rPr>
        <w:t xml:space="preserve">年度审核方案策划（4.1）</w:t>
      </w:r>
      <w:r>
        <w:br/>
      </w:r>
      <w:r>
        <w:rPr>
          <w:rStyle w:val="VerbatimChar"/>
        </w:rPr>
        <w:t xml:space="preserve">      ↓</w:t>
      </w:r>
      <w:r>
        <w:br/>
      </w:r>
      <w:r>
        <w:rPr>
          <w:rStyle w:val="VerbatimChar"/>
        </w:rPr>
        <w:t xml:space="preserve">明确审核目的/准则/范围（4.2）→ 组建审核组并授权（4.3）</w:t>
      </w:r>
      <w:r>
        <w:br/>
      </w:r>
      <w:r>
        <w:rPr>
          <w:rStyle w:val="VerbatimChar"/>
        </w:rPr>
        <w:t xml:space="preserve">      ↓</w:t>
      </w:r>
      <w:r>
        <w:br/>
      </w:r>
      <w:r>
        <w:rPr>
          <w:rStyle w:val="VerbatimChar"/>
        </w:rPr>
        <w:t xml:space="preserve">审核准备：实施计划 + 检查表（4.4）</w:t>
      </w:r>
      <w:r>
        <w:br/>
      </w:r>
      <w:r>
        <w:rPr>
          <w:rStyle w:val="VerbatimChar"/>
        </w:rPr>
        <w:t xml:space="preserve">      ↓</w:t>
      </w:r>
      <w:r>
        <w:br/>
      </w:r>
      <w:r>
        <w:rPr>
          <w:rStyle w:val="VerbatimChar"/>
        </w:rPr>
        <w:t xml:space="preserve">首次会议（4.5）</w:t>
      </w:r>
      <w:r>
        <w:br/>
      </w:r>
      <w:r>
        <w:rPr>
          <w:rStyle w:val="VerbatimChar"/>
        </w:rPr>
        <w:t xml:space="preserve">      ↓</w:t>
      </w:r>
      <w:r>
        <w:br/>
      </w:r>
      <w:r>
        <w:rPr>
          <w:rStyle w:val="VerbatimChar"/>
        </w:rPr>
        <w:t xml:space="preserve">现场审核：收集客观证据 → 判定不符合项（4.6）</w:t>
      </w:r>
      <w:r>
        <w:br/>
      </w:r>
      <w:r>
        <w:rPr>
          <w:rStyle w:val="VerbatimChar"/>
        </w:rPr>
        <w:t xml:space="preserve">      ↓</w:t>
      </w:r>
      <w:r>
        <w:br/>
      </w:r>
      <w:r>
        <w:rPr>
          <w:rStyle w:val="VerbatimChar"/>
        </w:rPr>
        <w:t xml:space="preserve">末次会议：通报结论、确认不符合项（4.7）</w:t>
      </w:r>
      <w:r>
        <w:br/>
      </w:r>
      <w:r>
        <w:rPr>
          <w:rStyle w:val="VerbatimChar"/>
        </w:rPr>
        <w:t xml:space="preserve">      ↓</w:t>
      </w:r>
      <w:r>
        <w:br/>
      </w:r>
      <w:r>
        <w:rPr>
          <w:rStyle w:val="VerbatimChar"/>
        </w:rPr>
        <w:t xml:space="preserve">编制并批准《内部审核报告》（4.8）</w:t>
      </w:r>
      <w:r>
        <w:br/>
      </w:r>
      <w:r>
        <w:rPr>
          <w:rStyle w:val="VerbatimChar"/>
        </w:rPr>
        <w:t xml:space="preserve">      ↓</w:t>
      </w:r>
      <w:r>
        <w:br/>
      </w:r>
      <w:r>
        <w:rPr>
          <w:rStyle w:val="VerbatimChar"/>
        </w:rPr>
        <w:t xml:space="preserve">受审部门原因分析并实施纠正措施（4.9）</w:t>
      </w:r>
      <w:r>
        <w:br/>
      </w:r>
      <w:r>
        <w:rPr>
          <w:rStyle w:val="VerbatimChar"/>
        </w:rPr>
        <w:t xml:space="preserve">      ↓</w:t>
      </w:r>
      <w:r>
        <w:br/>
      </w:r>
      <w:r>
        <w:rPr>
          <w:rStyle w:val="VerbatimChar"/>
        </w:rPr>
        <w:t xml:space="preserve">跟踪验证与关闭 → 输入管理评审（4.8/4.9）</w:t>
      </w:r>
    </w:p>
    <w:p>
      <w:pPr>
        <w:pStyle w:val="Heading3"/>
      </w:pPr>
      <w:bookmarkStart w:id="35" w:name="记录与结果应用"/>
      <w:r>
        <w:t xml:space="preserve">4.11 记录与结果应用</w:t>
      </w:r>
      <w:bookmarkEnd w:id="35"/>
    </w:p>
    <w:p>
      <w:pPr>
        <w:numPr>
          <w:ilvl w:val="0"/>
          <w:numId w:val="1015"/>
        </w:numPr>
        <w:pStyle w:val="Compact"/>
      </w:pPr>
      <w:r>
        <w:t xml:space="preserve">内审记录（年度计划、实施计划、检查表、签到表、不符合项报告、审核报告）由归口管理部门按《记录控制程序》归档保存。</w:t>
      </w:r>
    </w:p>
    <w:p>
      <w:pPr>
        <w:numPr>
          <w:ilvl w:val="0"/>
          <w:numId w:val="1015"/>
        </w:numPr>
        <w:pStyle w:val="Compact"/>
      </w:pPr>
      <w:r>
        <w:t xml:space="preserve">内审结果应作为管理评审输入，并用于：评价体系改进机会、调整过程绩效目标、优化资源配置、修订体系文件。</w:t>
      </w:r>
    </w:p>
    <w:p>
      <w:pPr>
        <w:pStyle w:val="Heading2"/>
      </w:pPr>
      <w:bookmarkStart w:id="36" w:name="五相关记录"/>
      <w:r>
        <w:t xml:space="preserve">五、相关记录</w:t>
      </w:r>
      <w:bookmarkEnd w:id="36"/>
    </w:p>
    <w:tbl>
      <w:tblPr>
        <w:tblStyle w:val="Table"/>
        <w:tblW w:type="pct" w:w="0.0"/>
        <w:tblLook w:firstRow="1"/>
      </w:tblPr>
      <w:tblGrid/>
      <w:tr>
        <w:trPr>
          <w:cnfStyle w:firstRow="1"/>
        </w:trPr>
        <w:tc>
          <w:tcPr>
            <w:tcBorders>
              <w:bottom w:val="single"/>
            </w:tcBorders>
            <w:vAlign w:val="bottom"/>
          </w:tcPr>
          <w:p>
            <w:pPr>
              <w:pStyle w:val="Compact"/>
              <w:jc w:val="left"/>
            </w:pPr>
            <w:r>
              <w:t xml:space="preserve">记录名称</w:t>
            </w:r>
          </w:p>
        </w:tc>
        <w:tc>
          <w:tcPr>
            <w:tcBorders>
              <w:bottom w:val="single"/>
            </w:tcBorders>
            <w:vAlign w:val="bottom"/>
          </w:tcPr>
          <w:p>
            <w:pPr>
              <w:pStyle w:val="Compact"/>
              <w:jc w:val="left"/>
            </w:pPr>
            <w:r>
              <w:t xml:space="preserve">编号</w:t>
            </w:r>
          </w:p>
        </w:tc>
        <w:tc>
          <w:tcPr>
            <w:tcBorders>
              <w:bottom w:val="single"/>
            </w:tcBorders>
            <w:vAlign w:val="bottom"/>
          </w:tcPr>
          <w:p>
            <w:pPr>
              <w:pStyle w:val="Compact"/>
              <w:jc w:val="left"/>
            </w:pPr>
            <w:r>
              <w:t xml:space="preserve">保管部门</w:t>
            </w:r>
          </w:p>
        </w:tc>
        <w:tc>
          <w:tcPr>
            <w:tcBorders>
              <w:bottom w:val="single"/>
            </w:tcBorders>
            <w:vAlign w:val="bottom"/>
          </w:tcPr>
          <w:p>
            <w:pPr>
              <w:pStyle w:val="Compact"/>
              <w:jc w:val="left"/>
            </w:pPr>
            <w:r>
              <w:t xml:space="preserve">保存期限</w:t>
            </w:r>
          </w:p>
        </w:tc>
      </w:tr>
      <w:tr>
        <w:tc>
          <w:p>
            <w:pPr>
              <w:pStyle w:val="Compact"/>
              <w:jc w:val="left"/>
            </w:pPr>
            <w:r>
              <w:t xml:space="preserve">年度内部审核计划</w:t>
            </w:r>
          </w:p>
        </w:tc>
        <w:tc>
          <w:p>
            <w:pPr>
              <w:pStyle w:val="Compact"/>
              <w:jc w:val="left"/>
            </w:pPr>
            <w:r>
              <w:t xml:space="preserve">QR-25-01</w:t>
            </w:r>
          </w:p>
        </w:tc>
        <w:tc>
          <w:p>
            <w:pPr>
              <w:pStyle w:val="Compact"/>
              <w:jc w:val="left"/>
            </w:pPr>
            <w:r>
              <w:t xml:space="preserve">归口管理部门</w:t>
            </w:r>
          </w:p>
        </w:tc>
        <w:tc>
          <w:p>
            <w:pPr>
              <w:pStyle w:val="Compact"/>
              <w:jc w:val="left"/>
            </w:pPr>
            <w:r>
              <w:t xml:space="preserve">3 年</w:t>
            </w:r>
          </w:p>
        </w:tc>
      </w:tr>
      <w:tr>
        <w:tc>
          <w:p>
            <w:pPr>
              <w:pStyle w:val="Compact"/>
              <w:jc w:val="left"/>
            </w:pPr>
            <w:r>
              <w:t xml:space="preserve">内部审核实施计划</w:t>
            </w:r>
          </w:p>
        </w:tc>
        <w:tc>
          <w:p>
            <w:pPr>
              <w:pStyle w:val="Compact"/>
              <w:jc w:val="left"/>
            </w:pPr>
            <w:r>
              <w:t xml:space="preserve">QR-25-02</w:t>
            </w:r>
          </w:p>
        </w:tc>
        <w:tc>
          <w:p>
            <w:pPr>
              <w:pStyle w:val="Compact"/>
              <w:jc w:val="left"/>
            </w:pPr>
            <w:r>
              <w:t xml:space="preserve">归口管理部门</w:t>
            </w:r>
          </w:p>
        </w:tc>
        <w:tc>
          <w:p>
            <w:pPr>
              <w:pStyle w:val="Compact"/>
              <w:jc w:val="left"/>
            </w:pPr>
            <w:r>
              <w:t xml:space="preserve">3 年</w:t>
            </w:r>
          </w:p>
        </w:tc>
      </w:tr>
      <w:tr>
        <w:tc>
          <w:p>
            <w:pPr>
              <w:pStyle w:val="Compact"/>
              <w:jc w:val="left"/>
            </w:pPr>
            <w:r>
              <w:t xml:space="preserve">内审员授权书</w:t>
            </w:r>
          </w:p>
        </w:tc>
        <w:tc>
          <w:p>
            <w:pPr>
              <w:pStyle w:val="Compact"/>
              <w:jc w:val="left"/>
            </w:pPr>
            <w:r>
              <w:t xml:space="preserve">QR-25-03</w:t>
            </w:r>
          </w:p>
        </w:tc>
        <w:tc>
          <w:p>
            <w:pPr>
              <w:pStyle w:val="Compact"/>
              <w:jc w:val="left"/>
            </w:pPr>
            <w:r>
              <w:t xml:space="preserve">归口管理部门</w:t>
            </w:r>
          </w:p>
        </w:tc>
        <w:tc>
          <w:p>
            <w:pPr>
              <w:pStyle w:val="Compact"/>
              <w:jc w:val="left"/>
            </w:pPr>
            <w:r>
              <w:t xml:space="preserve">3 年</w:t>
            </w:r>
          </w:p>
        </w:tc>
      </w:tr>
      <w:tr>
        <w:tc>
          <w:p>
            <w:pPr>
              <w:pStyle w:val="Compact"/>
              <w:jc w:val="left"/>
            </w:pPr>
            <w:r>
              <w:t xml:space="preserve">内部审核检查表</w:t>
            </w:r>
          </w:p>
        </w:tc>
        <w:tc>
          <w:p>
            <w:pPr>
              <w:pStyle w:val="Compact"/>
              <w:jc w:val="left"/>
            </w:pPr>
            <w:r>
              <w:t xml:space="preserve">QR-25-04</w:t>
            </w:r>
          </w:p>
        </w:tc>
        <w:tc>
          <w:p>
            <w:pPr>
              <w:pStyle w:val="Compact"/>
              <w:jc w:val="left"/>
            </w:pPr>
            <w:r>
              <w:t xml:space="preserve">归口管理部门</w:t>
            </w:r>
          </w:p>
        </w:tc>
        <w:tc>
          <w:p>
            <w:pPr>
              <w:pStyle w:val="Compact"/>
              <w:jc w:val="left"/>
            </w:pPr>
            <w:r>
              <w:t xml:space="preserve">3 年</w:t>
            </w:r>
          </w:p>
        </w:tc>
      </w:tr>
      <w:tr>
        <w:tc>
          <w:p>
            <w:pPr>
              <w:pStyle w:val="Compact"/>
              <w:jc w:val="left"/>
            </w:pPr>
            <w:r>
              <w:t xml:space="preserve">首次/末次会议签到表</w:t>
            </w:r>
          </w:p>
        </w:tc>
        <w:tc>
          <w:p>
            <w:pPr>
              <w:pStyle w:val="Compact"/>
              <w:jc w:val="left"/>
            </w:pPr>
            <w:r>
              <w:t xml:space="preserve">QR-25-05</w:t>
            </w:r>
          </w:p>
        </w:tc>
        <w:tc>
          <w:p>
            <w:pPr>
              <w:pStyle w:val="Compact"/>
              <w:jc w:val="left"/>
            </w:pPr>
            <w:r>
              <w:t xml:space="preserve">归口管理部门</w:t>
            </w:r>
          </w:p>
        </w:tc>
        <w:tc>
          <w:p>
            <w:pPr>
              <w:pStyle w:val="Compact"/>
              <w:jc w:val="left"/>
            </w:pPr>
            <w:r>
              <w:t xml:space="preserve">3 年</w:t>
            </w:r>
          </w:p>
        </w:tc>
      </w:tr>
      <w:tr>
        <w:tc>
          <w:p>
            <w:pPr>
              <w:pStyle w:val="Compact"/>
              <w:jc w:val="left"/>
            </w:pPr>
            <w:r>
              <w:t xml:space="preserve">不符合项报告（含纠正措施与验证栏）</w:t>
            </w:r>
          </w:p>
        </w:tc>
        <w:tc>
          <w:p>
            <w:pPr>
              <w:pStyle w:val="Compact"/>
              <w:jc w:val="left"/>
            </w:pPr>
            <w:r>
              <w:t xml:space="preserve">QR-25-06</w:t>
            </w:r>
          </w:p>
        </w:tc>
        <w:tc>
          <w:p>
            <w:pPr>
              <w:pStyle w:val="Compact"/>
              <w:jc w:val="left"/>
            </w:pPr>
            <w:r>
              <w:t xml:space="preserve">归口管理部门/受审部门</w:t>
            </w:r>
          </w:p>
        </w:tc>
        <w:tc>
          <w:p>
            <w:pPr>
              <w:pStyle w:val="Compact"/>
              <w:jc w:val="left"/>
            </w:pPr>
            <w:r>
              <w:t xml:space="preserve">3 年</w:t>
            </w:r>
          </w:p>
        </w:tc>
      </w:tr>
      <w:tr>
        <w:tc>
          <w:p>
            <w:pPr>
              <w:pStyle w:val="Compact"/>
              <w:jc w:val="left"/>
            </w:pPr>
            <w:r>
              <w:t xml:space="preserve">内部审核报告</w:t>
            </w:r>
          </w:p>
        </w:tc>
        <w:tc>
          <w:p>
            <w:pPr>
              <w:pStyle w:val="Compact"/>
              <w:jc w:val="left"/>
            </w:pPr>
            <w:r>
              <w:t xml:space="preserve">QR-25-07</w:t>
            </w:r>
          </w:p>
        </w:tc>
        <w:tc>
          <w:p>
            <w:pPr>
              <w:pStyle w:val="Compact"/>
              <w:jc w:val="left"/>
            </w:pPr>
            <w:r>
              <w:t xml:space="preserve">归口管理部门</w:t>
            </w:r>
          </w:p>
        </w:tc>
        <w:tc>
          <w:p>
            <w:pPr>
              <w:pStyle w:val="Compact"/>
              <w:jc w:val="left"/>
            </w:pPr>
            <w:r>
              <w:t xml:space="preserve">长期</w:t>
            </w:r>
          </w:p>
        </w:tc>
      </w:tr>
      <w:tr>
        <w:tc>
          <w:p>
            <w:pPr>
              <w:pStyle w:val="Compact"/>
              <w:jc w:val="left"/>
            </w:pPr>
            <w:r>
              <w:t xml:space="preserve">内审员资格培训记录/证书复印件</w:t>
            </w:r>
          </w:p>
        </w:tc>
        <w:tc>
          <w:p>
            <w:pPr>
              <w:pStyle w:val="Compact"/>
              <w:jc w:val="left"/>
            </w:pPr>
            <w:r>
              <w:t xml:space="preserve">QR-25-08</w:t>
            </w:r>
          </w:p>
        </w:tc>
        <w:tc>
          <w:p>
            <w:pPr>
              <w:pStyle w:val="Compact"/>
              <w:jc w:val="left"/>
            </w:pPr>
            <w:r>
              <w:t xml:space="preserve">归口管理部门/人力资源</w:t>
            </w:r>
          </w:p>
        </w:tc>
        <w:tc>
          <w:p>
            <w:pPr>
              <w:pStyle w:val="Compact"/>
              <w:jc w:val="left"/>
            </w:pPr>
            <w:r>
              <w:t xml:space="preserve">长期</w:t>
            </w:r>
          </w:p>
        </w:tc>
      </w:tr>
    </w:tbl>
    <w:p>
      <w:pPr>
        <w:pStyle w:val="BodyText"/>
      </w:pPr>
      <w:r>
        <w:t xml:space="preserve">注：记录编号规则按《记录控制程序》执行，各企业可结合自身编号体系调整；表单单体样式参见本套包四级文件管理类表单模板。</w:t>
      </w:r>
    </w:p>
    <w:p>
      <w:pPr>
        <w:pStyle w:val="Heading2"/>
      </w:pPr>
      <w:bookmarkStart w:id="37" w:name="六相关文件"/>
      <w:r>
        <w:t xml:space="preserve">六、相关文件</w:t>
      </w:r>
      <w:bookmarkEnd w:id="37"/>
    </w:p>
    <w:p>
      <w:pPr>
        <w:numPr>
          <w:ilvl w:val="0"/>
          <w:numId w:val="1016"/>
        </w:numPr>
        <w:pStyle w:val="Compact"/>
      </w:pPr>
      <w:r>
        <w:t xml:space="preserve">ISO 9001:2015《质量管理体系 要求》条款 9.2；</w:t>
      </w:r>
    </w:p>
    <w:p>
      <w:pPr>
        <w:numPr>
          <w:ilvl w:val="0"/>
          <w:numId w:val="1016"/>
        </w:numPr>
        <w:pStyle w:val="Compact"/>
      </w:pPr>
      <w:r>
        <w:t xml:space="preserve">《记录控制程序》；</w:t>
      </w:r>
    </w:p>
    <w:p>
      <w:pPr>
        <w:numPr>
          <w:ilvl w:val="0"/>
          <w:numId w:val="1016"/>
        </w:numPr>
        <w:pStyle w:val="Compact"/>
      </w:pPr>
      <w:r>
        <w:t xml:space="preserve">《文件控制程序》；</w:t>
      </w:r>
    </w:p>
    <w:p>
      <w:pPr>
        <w:numPr>
          <w:ilvl w:val="0"/>
          <w:numId w:val="1016"/>
        </w:numPr>
        <w:pStyle w:val="Compact"/>
      </w:pPr>
      <w:r>
        <w:t xml:space="preserve">《不合格与纠正措施程序》；</w:t>
      </w:r>
    </w:p>
    <w:p>
      <w:pPr>
        <w:numPr>
          <w:ilvl w:val="0"/>
          <w:numId w:val="1016"/>
        </w:numPr>
        <w:pStyle w:val="Compact"/>
      </w:pPr>
      <w:r>
        <w:t xml:space="preserve">《管理评审程序》；</w:t>
      </w:r>
    </w:p>
    <w:p>
      <w:pPr>
        <w:numPr>
          <w:ilvl w:val="0"/>
          <w:numId w:val="1016"/>
        </w:numPr>
        <w:pStyle w:val="Compact"/>
      </w:pPr>
      <w:r>
        <w:t xml:space="preserve">《人力资源管理程序》（内审员能力与培训要求）；</w:t>
      </w:r>
    </w:p>
    <w:p>
      <w:pPr>
        <w:numPr>
          <w:ilvl w:val="0"/>
          <w:numId w:val="1016"/>
        </w:numPr>
        <w:pStyle w:val="Compact"/>
      </w:pPr>
      <w:r>
        <w:t xml:space="preserve">《数据分析与评价程序》（内审不符合项统计分析）。</w:t>
      </w:r>
    </w:p>
    <w:p>
      <w:pPr>
        <w:pStyle w:val="Heading2"/>
      </w:pPr>
      <w:bookmarkStart w:id="38" w:name="使用说明"/>
      <w:r>
        <w:t xml:space="preserve">使用说明</w:t>
      </w:r>
      <w:bookmarkEnd w:id="38"/>
    </w:p>
    <w:p>
      <w:pPr>
        <w:pStyle w:val="FirstParagraph"/>
      </w:pPr>
      <w:r>
        <w:rPr>
          <w:b/>
        </w:rPr>
        <w:t xml:space="preserve">一、如何按企业实际修改</w:t>
      </w:r>
    </w:p>
    <w:p>
      <w:pPr>
        <w:numPr>
          <w:ilvl w:val="0"/>
          <w:numId w:val="1017"/>
        </w:numPr>
        <w:pStyle w:val="Compact"/>
      </w:pPr>
      <w:r>
        <w:rPr>
          <w:b/>
        </w:rPr>
        <w:t xml:space="preserve">组织适配</w:t>
      </w:r>
      <w:r>
        <w:t xml:space="preserve">：小企业可将</w:t>
      </w:r>
      <w:r>
        <w:t xml:space="preserve">“</w:t>
      </w:r>
      <w:r>
        <w:t xml:space="preserve">归口管理部门</w:t>
      </w:r>
      <w:r>
        <w:t xml:space="preserve">”</w:t>
      </w:r>
      <w:r>
        <w:t xml:space="preserve">与</w:t>
      </w:r>
      <w:r>
        <w:t xml:space="preserve">“</w:t>
      </w:r>
      <w:r>
        <w:t xml:space="preserve">管理者代表</w:t>
      </w:r>
      <w:r>
        <w:t xml:space="preserve">”</w:t>
      </w:r>
      <w:r>
        <w:t xml:space="preserve">职责合并由质量负责人承担，审核组可由 1 名组长加 1～2 名内审员组成，但</w:t>
      </w:r>
      <w:r>
        <w:t xml:space="preserve">“</w:t>
      </w:r>
      <w:r>
        <w:t xml:space="preserve">审核员不得审核自己工作</w:t>
      </w:r>
      <w:r>
        <w:t xml:space="preserve">”</w:t>
      </w:r>
      <w:r>
        <w:t xml:space="preserve">的独立性红线不能破；若企业内审员不足，可外聘具备资格的内审员参与，或与兄弟企业互审。</w:t>
      </w:r>
    </w:p>
    <w:p>
      <w:pPr>
        <w:numPr>
          <w:ilvl w:val="0"/>
          <w:numId w:val="1017"/>
        </w:numPr>
        <w:pStyle w:val="Compact"/>
      </w:pPr>
      <w:r>
        <w:rPr>
          <w:b/>
        </w:rPr>
        <w:t xml:space="preserve">行业适配</w:t>
      </w:r>
      <w:r>
        <w:t xml:space="preserve">：制造业按</w:t>
      </w:r>
      <w:r>
        <w:t xml:space="preserve">“</w:t>
      </w:r>
      <w:r>
        <w:t xml:space="preserve">过程</w:t>
      </w:r>
      <w:r>
        <w:t xml:space="preserve">”</w:t>
      </w:r>
      <w:r>
        <w:t xml:space="preserve">（如生产、检验、采购）和条款双维度设计检查表；服务业可把审核重点放在顾客服务流程、投诉处理与外包过程；工程项目可增加施工现场、分包方管理的专项审核。高风险过程（如设计开发、关键工序）应提高审核频次与抽样比例。</w:t>
      </w:r>
    </w:p>
    <w:p>
      <w:pPr>
        <w:numPr>
          <w:ilvl w:val="0"/>
          <w:numId w:val="1017"/>
        </w:numPr>
        <w:pStyle w:val="Compact"/>
      </w:pPr>
      <w:r>
        <w:rPr>
          <w:b/>
        </w:rPr>
        <w:t xml:space="preserve">频次适配</w:t>
      </w:r>
      <w:r>
        <w:t xml:space="preserve">：运行成熟、绩效稳定的企业可将部分低风险过程改为每两年一次并在年度计划中说明理由，但必须保留对全部条款覆盖的总体安排；新体系运行第一年建议每半年一次全条款审核。</w:t>
      </w:r>
    </w:p>
    <w:p>
      <w:pPr>
        <w:numPr>
          <w:ilvl w:val="0"/>
          <w:numId w:val="1017"/>
        </w:numPr>
        <w:pStyle w:val="Compact"/>
      </w:pPr>
      <w:r>
        <w:rPr>
          <w:b/>
        </w:rPr>
        <w:t xml:space="preserve">方法适配</w:t>
      </w:r>
      <w:r>
        <w:t xml:space="preserve">：可结合滚动式审核（分季度覆盖不同过程）减轻集中审核的部门负担；有条件的可引入过程方法审核、基于风险的审核或与专项检查合并开展，但每次审核的目的、准则、范围应事先形成文件。</w:t>
      </w:r>
    </w:p>
    <w:p>
      <w:pPr>
        <w:pStyle w:val="FirstParagraph"/>
      </w:pPr>
      <w:r>
        <w:rPr>
          <w:b/>
        </w:rPr>
        <w:t xml:space="preserve">二、审核关注点</w:t>
      </w:r>
    </w:p>
    <w:p>
      <w:pPr>
        <w:numPr>
          <w:ilvl w:val="0"/>
          <w:numId w:val="1018"/>
        </w:numPr>
        <w:pStyle w:val="Compact"/>
      </w:pPr>
      <w:r>
        <w:t xml:space="preserve">认证审核时，外审员会重点核查：内审是否按年度计划实施、计划调整是否有依据；审核记录是否体现抽样证据而非笼统描述；审核员独立性是否满足（对照内审员岗位与受审部门核查）；不符合项是否全部关闭并经验证有效。</w:t>
      </w:r>
    </w:p>
    <w:p>
      <w:pPr>
        <w:numPr>
          <w:ilvl w:val="0"/>
          <w:numId w:val="1018"/>
        </w:numPr>
        <w:pStyle w:val="Compact"/>
      </w:pPr>
      <w:r>
        <w:t xml:space="preserve">常见追问：</w:t>
      </w:r>
      <w:r>
        <w:t xml:space="preserve">“</w:t>
      </w:r>
      <w:r>
        <w:t xml:space="preserve">上次内审发现的不符合集中在哪些部门/条款？采取了什么系统性措施？</w:t>
      </w:r>
      <w:r>
        <w:t xml:space="preserve">”</w:t>
      </w:r>
      <w:r>
        <w:t xml:space="preserve">——建议保存不符合项按部门、按条款的分布统计，并展示其与管理评审、纠正措施之间的联动证据。</w:t>
      </w:r>
    </w:p>
    <w:p>
      <w:pPr>
        <w:numPr>
          <w:ilvl w:val="0"/>
          <w:numId w:val="1018"/>
        </w:numPr>
        <w:pStyle w:val="Compact"/>
      </w:pPr>
      <w:r>
        <w:t xml:space="preserve">注意 9.2 与 4.4、7.1.6、9.1.3、9.3、10.2 的联动：内审方案考虑风险与绩效（基于风险的策划）、内审发现纳入知识管理、不符合统计分析进数据分析报告、内审结果是管理评审的固定输入，这条证据链是近年审核的高频核查点。</w:t>
      </w:r>
    </w:p>
    <w:p>
      <w:pPr>
        <w:pStyle w:val="FirstParagraph"/>
      </w:pPr>
      <w:r>
        <w:rPr>
          <w:b/>
        </w:rPr>
        <w:t xml:space="preserve">三、常见错误</w:t>
      </w:r>
    </w:p>
    <w:p>
      <w:pPr>
        <w:numPr>
          <w:ilvl w:val="0"/>
          <w:numId w:val="1019"/>
        </w:numPr>
        <w:pStyle w:val="Compact"/>
      </w:pPr>
      <w:r>
        <w:rPr>
          <w:b/>
        </w:rPr>
        <w:t xml:space="preserve">内审走过场</w:t>
      </w:r>
      <w:r>
        <w:t xml:space="preserve">：检查表千篇一律、审核记录只写</w:t>
      </w:r>
      <w:r>
        <w:t xml:space="preserve">“</w:t>
      </w:r>
      <w:r>
        <w:t xml:space="preserve">符合</w:t>
      </w:r>
      <w:r>
        <w:t xml:space="preserve">”</w:t>
      </w:r>
      <w:r>
        <w:t xml:space="preserve">没有证据、现场审核变成文件查阅会，导致体系真实问题暴露不出来——内审的目的是发现改进机会，不是证明</w:t>
      </w:r>
      <w:r>
        <w:t xml:space="preserve">“</w:t>
      </w:r>
      <w:r>
        <w:t xml:space="preserve">全绿</w:t>
      </w:r>
      <w:r>
        <w:t xml:space="preserve">”</w:t>
      </w:r>
      <w:r>
        <w:t xml:space="preserve">。</w:t>
      </w:r>
    </w:p>
    <w:p>
      <w:pPr>
        <w:numPr>
          <w:ilvl w:val="0"/>
          <w:numId w:val="1019"/>
        </w:numPr>
        <w:pStyle w:val="Compact"/>
      </w:pPr>
      <w:r>
        <w:rPr>
          <w:b/>
        </w:rPr>
        <w:t xml:space="preserve">审核员审自己</w:t>
      </w:r>
      <w:r>
        <w:t xml:space="preserve">：部门内审员审核本部门工作，违背独立性要求，会被开不符合项；应在授权与分工环节强制回避。</w:t>
      </w:r>
    </w:p>
    <w:p>
      <w:pPr>
        <w:numPr>
          <w:ilvl w:val="0"/>
          <w:numId w:val="1019"/>
        </w:numPr>
        <w:pStyle w:val="Compact"/>
      </w:pPr>
      <w:r>
        <w:rPr>
          <w:b/>
        </w:rPr>
        <w:t xml:space="preserve">重开具轻关闭</w:t>
      </w:r>
      <w:r>
        <w:t xml:space="preserve">：不符合项开出后无人跟踪，或验证只查</w:t>
      </w:r>
      <w:r>
        <w:t xml:space="preserve">“</w:t>
      </w:r>
      <w:r>
        <w:t xml:space="preserve">整改报告写了没有</w:t>
      </w:r>
      <w:r>
        <w:t xml:space="preserve">”</w:t>
      </w:r>
      <w:r>
        <w:t xml:space="preserve">而不验证措施有效性，导致同类问题反复发生；建议把不符合项按期关闭率纳入部门绩效指标。</w:t>
      </w:r>
    </w:p>
    <w:p>
      <w:pPr>
        <w:numPr>
          <w:ilvl w:val="0"/>
          <w:numId w:val="1019"/>
        </w:numPr>
        <w:pStyle w:val="Compact"/>
      </w:pPr>
      <w:r>
        <w:rPr>
          <w:b/>
        </w:rPr>
        <w:t xml:space="preserve">检查表与标准脱节</w:t>
      </w:r>
      <w:r>
        <w:t xml:space="preserve">：只按程序文件查记录、不核对 ISO 9001 标准条款本身，漏掉标准新增要求（如组织环境、风险、知识管理）的审核；编制检查表时应以标准条款为骨架、以程序文件为血肉逐条对应。</w:t>
      </w:r>
    </w:p>
    <w:p>
      <w:pPr>
        <w:numPr>
          <w:ilvl w:val="0"/>
          <w:numId w:val="1019"/>
        </w:numPr>
        <w:pStyle w:val="Compact"/>
      </w:pPr>
      <w:r>
        <w:rPr>
          <w:b/>
        </w:rPr>
        <w:t xml:space="preserve">审核报告空泛</w:t>
      </w:r>
      <w:r>
        <w:t xml:space="preserve">：报告只有不符合项清单，缺少对体系有效性的综合评价与改进建议，弱化了内审对管理决策的支撑作用。</w:t>
      </w:r>
    </w:p>
    <w:p>
      <w:r>
        <w:pict>
          <v:rect style="width:0;height:1.5pt" o:hralign="center" o:hrstd="t" o:hr="t"/>
        </w:pict>
      </w:r>
    </w:p>
    <w:p>
      <w:pPr>
        <w:pStyle w:val="BlockText"/>
      </w:pPr>
      <w:r>
        <w:t xml:space="preserve">内审动真格，体系不塌方</w:t>
      </w:r>
    </w:p>
    <w:p>
      <w:pPr>
        <w:pStyle w:val="FirstParagraph"/>
      </w:pPr>
      <w:r>
        <w:t xml:space="preserve">知识编号：2.3.1</w:t>
      </w:r>
    </w:p>
    <w:p>
      <w:pPr>
        <w:pStyle w:val="BodyText"/>
      </w:pPr>
      <w:r>
        <w:t xml:space="preserve">版本：v20260809</w:t>
      </w:r>
    </w:p>
    <w:p>
      <w:pPr>
        <w:pStyle w:val="BodyText"/>
      </w:pPr>
      <w:r>
        <w:t xml:space="preserve">作者：卓越质量智库</w:t>
      </w:r>
      <w:r>
        <w:t xml:space="preserve"> </w:t>
      </w:r>
      <w:r>
        <w:rPr>
          <w:i/>
        </w:rPr>
        <w:t xml:space="preserve">卓越质量智库致力于为质量管理从业者提供系统化的专业知识、方法论与实战工具，助力企业质量能力持续提升。</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411">
    <w:nsid w:val="ea454b4c"/>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abstractNum w:abstractNumId="991">
    <w:nsid w:val="71315dca"/>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2026-09-12T10:35:35Z</dcterms:created>
  <dcterms:modified xsi:type="dcterms:W3CDTF">2026-09-12T10:35:35Z</dcterms:modified>
</cp:coreProperties>
</file>

<file path=docProps/custom.xml><?xml version="1.0" encoding="utf-8"?>
<Properties xmlns="http://schemas.openxmlformats.org/officeDocument/2006/custom-properties" xmlns:vt="http://schemas.openxmlformats.org/officeDocument/2006/docPropsVTypes"/>
</file>