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26管理评审程序9.3"/>
      <w:r>
        <w:t xml:space="preserve">ISO9001体系文件套包（26）｜管理评审程序（9.3）</w:t>
      </w:r>
      <w:bookmarkEnd w:id="20"/>
    </w:p>
    <w:p>
      <w:pPr>
        <w:pStyle w:val="BlockText"/>
      </w:pPr>
      <w:r>
        <w:rPr>
          <w:b/>
        </w:rPr>
        <w:t xml:space="preserve">文件说明</w:t>
      </w:r>
      <w:r>
        <w:t xml:space="preserve">：本程序对应 ISO 9001:2015 标准条款 9.3</w:t>
      </w:r>
      <w:r>
        <w:t xml:space="preserve">“</w:t>
      </w:r>
      <w:r>
        <w:t xml:space="preserve">管理评审</w:t>
      </w:r>
      <w:r>
        <w:t xml:space="preserve">”</w:t>
      </w:r>
      <w:r>
        <w:t xml:space="preserve">，是质量管理体系 PDCA 循环中</w:t>
      </w:r>
      <w:r>
        <w:t xml:space="preserve">“</w:t>
      </w:r>
      <w:r>
        <w:t xml:space="preserve">C（检查）</w:t>
      </w:r>
      <w:r>
        <w:t xml:space="preserve">”</w:t>
      </w:r>
      <w:r>
        <w:t xml:space="preserve">阶段的最高层级活动，也是连接体系运行与战略决策的关键枢纽。它由最高管理者亲自主持，按策划的间隔对体系的适宜性、充分性和有效性进行系统评价，并输出改进、变更与资源保障的决策。管理评审不是内部审核的重复，而是站在全局高度回答三个问题：体系还适合我们吗、覆盖得够不够、运转得有没有效。认证审核时外审员必查最高管理者的参与证据与输入输出的完整性。本程序适用于各类制造与服务企业，尤其是需要规范年度体系回顾、理顺高层决策机制的中小企业，可直接套用并按组织规模裁剪。</w:t>
      </w:r>
    </w:p>
    <w:p>
      <w:pPr>
        <w:pStyle w:val="BlockText"/>
      </w:pPr>
      <w:r>
        <w:t xml:space="preserve">注：本程序为模板范本，文中</w:t>
      </w:r>
      <w:r>
        <w:t xml:space="preserve">“</w:t>
      </w:r>
      <w:r>
        <w:t xml:space="preserve">本公司</w:t>
      </w:r>
      <w:r>
        <w:t xml:space="preserve">”</w:t>
      </w:r>
      <w:r>
        <w:t xml:space="preserve">“</w:t>
      </w:r>
      <w:r>
        <w:t xml:space="preserve">归口管理部门</w:t>
      </w:r>
      <w:r>
        <w:t xml:space="preserve">”</w:t>
      </w:r>
      <w:r>
        <w:t xml:space="preserve">等表述请按企业实际替换为对应部门名称。</w:t>
      </w:r>
    </w:p>
    <w:p>
      <w:pPr>
        <w:pStyle w:val="Heading2"/>
      </w:pPr>
      <w:bookmarkStart w:id="21" w:name="一目的"/>
      <w:r>
        <w:t xml:space="preserve">一、目的</w:t>
      </w:r>
      <w:bookmarkEnd w:id="21"/>
    </w:p>
    <w:p>
      <w:pPr>
        <w:pStyle w:val="FirstParagraph"/>
      </w:pPr>
      <w:r>
        <w:t xml:space="preserve">规范本公司管理评审的策划、输入、实施、输出与跟踪验证流程，确保质量管理体系持续的：</w:t>
      </w:r>
    </w:p>
    <w:p>
      <w:pPr>
        <w:numPr>
          <w:ilvl w:val="0"/>
          <w:numId w:val="1001"/>
        </w:numPr>
        <w:pStyle w:val="Compact"/>
      </w:pPr>
      <w:r>
        <w:rPr>
          <w:b/>
        </w:rPr>
        <w:t xml:space="preserve">适宜性</w:t>
      </w:r>
      <w:r>
        <w:t xml:space="preserve">——适应内外部环境变化、战略方向与相关方要求；</w:t>
      </w:r>
    </w:p>
    <w:p>
      <w:pPr>
        <w:numPr>
          <w:ilvl w:val="0"/>
          <w:numId w:val="1001"/>
        </w:numPr>
        <w:pStyle w:val="Compact"/>
      </w:pPr>
      <w:r>
        <w:rPr>
          <w:b/>
        </w:rPr>
        <w:t xml:space="preserve">充分性</w:t>
      </w:r>
      <w:r>
        <w:t xml:space="preserve">——覆盖范围、资源配置与过程策划足以满足要求；</w:t>
      </w:r>
    </w:p>
    <w:p>
      <w:pPr>
        <w:numPr>
          <w:ilvl w:val="0"/>
          <w:numId w:val="1001"/>
        </w:numPr>
        <w:pStyle w:val="Compact"/>
      </w:pPr>
      <w:r>
        <w:rPr>
          <w:b/>
        </w:rPr>
        <w:t xml:space="preserve">有效性</w:t>
      </w:r>
      <w:r>
        <w:t xml:space="preserve">——方针目标得以实现，体系运行结果达到预期。</w:t>
      </w:r>
    </w:p>
    <w:p>
      <w:pPr>
        <w:pStyle w:val="FirstParagraph"/>
      </w:pPr>
      <w:r>
        <w:t xml:space="preserve">同时为体系改进、变更决策和资源投入提供依据，保证管理评审真正成为最高管理者实施质量领导力的固定机制。</w:t>
      </w:r>
    </w:p>
    <w:p>
      <w:pPr>
        <w:pStyle w:val="Heading2"/>
      </w:pPr>
      <w:bookmarkStart w:id="22" w:name="二适用范围"/>
      <w:r>
        <w:t xml:space="preserve">二、适用范围</w:t>
      </w:r>
      <w:bookmarkEnd w:id="22"/>
    </w:p>
    <w:p>
      <w:pPr>
        <w:pStyle w:val="FirstParagraph"/>
      </w:pPr>
      <w:r>
        <w:t xml:space="preserve">适用于本公司最高管理者对质量管理体系整体运行状况进行的定期评审活动，覆盖体系范围内的所有过程、部门和场所，包括管理层、各职能部门、生产车间、库房、检验及服务现场。</w:t>
      </w:r>
    </w:p>
    <w:p>
      <w:pPr>
        <w:pStyle w:val="BodyText"/>
      </w:pPr>
      <w:r>
        <w:t xml:space="preserve">必要时（如标准换版、战略重大调整、并购重组等），可针对特定议题开展专题管理评审，参照本程序执行。本程序不替代内部审核、日常例会或专题技术评审。</w:t>
      </w:r>
    </w:p>
    <w:p>
      <w:pPr>
        <w:pStyle w:val="Heading2"/>
      </w:pPr>
      <w:bookmarkStart w:id="23" w:name="三职责"/>
      <w:r>
        <w:t xml:space="preserve">三、职责</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责任部门/岗位</w:t>
            </w:r>
          </w:p>
        </w:tc>
        <w:tc>
          <w:tcPr>
            <w:tcBorders>
              <w:bottom w:val="single"/>
            </w:tcBorders>
            <w:vAlign w:val="bottom"/>
          </w:tcPr>
          <w:p>
            <w:pPr>
              <w:pStyle w:val="Compact"/>
              <w:jc w:val="left"/>
            </w:pPr>
            <w:r>
              <w:t xml:space="preserve">职责内容</w:t>
            </w:r>
          </w:p>
        </w:tc>
      </w:tr>
      <w:tr>
        <w:tc>
          <w:p>
            <w:pPr>
              <w:pStyle w:val="Compact"/>
              <w:jc w:val="left"/>
            </w:pPr>
            <w:r>
              <w:t xml:space="preserve">总经理（最高管理者）</w:t>
            </w:r>
          </w:p>
        </w:tc>
        <w:tc>
          <w:p>
            <w:pPr>
              <w:pStyle w:val="Compact"/>
              <w:jc w:val="left"/>
            </w:pPr>
            <w:r>
              <w:t xml:space="preserve">亲自主持管理评审会议；批准《年度管理评审计划》与《管理评审报告》；对评审决议事项作出决策；为决议落实提供必要资源</w:t>
            </w:r>
          </w:p>
        </w:tc>
      </w:tr>
      <w:tr>
        <w:tc>
          <w:p>
            <w:pPr>
              <w:pStyle w:val="Compact"/>
              <w:jc w:val="left"/>
            </w:pPr>
            <w:r>
              <w:t xml:space="preserve">管理者代表</w:t>
            </w:r>
          </w:p>
        </w:tc>
        <w:tc>
          <w:p>
            <w:pPr>
              <w:pStyle w:val="Compact"/>
              <w:jc w:val="left"/>
            </w:pPr>
            <w:r>
              <w:t xml:space="preserve">审核评审计划与输入材料；组织归口管理部门汇总输入报告；向总经理报告体系整体绩效与趋势；跟踪督办决议事项的落实</w:t>
            </w:r>
          </w:p>
        </w:tc>
      </w:tr>
      <w:tr>
        <w:tc>
          <w:p>
            <w:pPr>
              <w:pStyle w:val="Compact"/>
              <w:jc w:val="left"/>
            </w:pPr>
            <w:r>
              <w:t xml:space="preserve">归口管理部门（品质部/企管部）</w:t>
            </w:r>
          </w:p>
        </w:tc>
        <w:tc>
          <w:p>
            <w:pPr>
              <w:pStyle w:val="Compact"/>
              <w:jc w:val="left"/>
            </w:pPr>
            <w:r>
              <w:t xml:space="preserve">拟定评审计划与输入提纲；收集、初审各部门输入报告；编制《管理评审报告》草案；建立决议措施台账并组织跟踪验证；归口管理评审记录</w:t>
            </w:r>
          </w:p>
        </w:tc>
      </w:tr>
      <w:tr>
        <w:tc>
          <w:p>
            <w:pPr>
              <w:pStyle w:val="Compact"/>
              <w:jc w:val="left"/>
            </w:pPr>
            <w:r>
              <w:t xml:space="preserve">各职能部门/车间</w:t>
            </w:r>
          </w:p>
        </w:tc>
        <w:tc>
          <w:p>
            <w:pPr>
              <w:pStyle w:val="Compact"/>
              <w:jc w:val="left"/>
            </w:pPr>
            <w:r>
              <w:t xml:space="preserve">按输入提纲要求准备本部门输入材料（数据、报告、图表），经部门负责人确认后按时提交；派员参加评审会议；落实与本部门相关的决议事项并反馈完成证据</w:t>
            </w:r>
          </w:p>
        </w:tc>
      </w:tr>
    </w:tbl>
    <w:p>
      <w:pPr>
        <w:pStyle w:val="BodyText"/>
      </w:pPr>
      <w:r>
        <w:t xml:space="preserve">管理评审是最高管理者的法定职责，不得委托管理者代表或归口管理部门代为主持；因故确实无法按期主持时，应确定顺延日期并在记录中说明。</w:t>
      </w:r>
    </w:p>
    <w:p>
      <w:pPr>
        <w:pStyle w:val="Heading2"/>
      </w:pPr>
      <w:bookmarkStart w:id="24" w:name="四工作程序"/>
      <w:r>
        <w:t xml:space="preserve">四、工作程序</w:t>
      </w:r>
      <w:bookmarkEnd w:id="24"/>
    </w:p>
    <w:p>
      <w:pPr>
        <w:pStyle w:val="Heading3"/>
      </w:pPr>
      <w:bookmarkStart w:id="25" w:name="评审策划"/>
      <w:r>
        <w:t xml:space="preserve">4.1 评审策划</w:t>
      </w:r>
      <w:bookmarkEnd w:id="25"/>
    </w:p>
    <w:p>
      <w:pPr>
        <w:numPr>
          <w:ilvl w:val="0"/>
          <w:numId w:val="1002"/>
        </w:numPr>
        <w:pStyle w:val="Compact"/>
      </w:pPr>
      <w:r>
        <w:t xml:space="preserve">管理评审每年至少开展一次，两次评审间隔原则上不超过 12 个月。归口管理部门于每年 12 月（或评审周期开始前）编制下一年度《年度管理评审计划》，明确评审目的、时间、地点、参加人员、评审范围、输入材料分工及提交时限，经管理者代表审核、总经理批准后发放。</w:t>
      </w:r>
    </w:p>
    <w:p>
      <w:pPr>
        <w:numPr>
          <w:ilvl w:val="0"/>
          <w:numId w:val="1002"/>
        </w:numPr>
        <w:pStyle w:val="Compact"/>
      </w:pPr>
      <w:r>
        <w:t xml:space="preserve">评审频次的确定应考虑：体系运行成熟度与绩效表现、内外部审核结果、重大变更频度、行业监管要求等。体系换版或初次认证当年、发生重大质量事故或顾客重大投诉的年份，宜加密评审。</w:t>
      </w:r>
    </w:p>
    <w:p>
      <w:pPr>
        <w:numPr>
          <w:ilvl w:val="0"/>
          <w:numId w:val="1002"/>
        </w:numPr>
        <w:pStyle w:val="Compact"/>
      </w:pPr>
      <w:r>
        <w:t xml:space="preserve">出现下列情况之一时，可追加临时管理评审：组织机构、产品结构或战略方向发生重大调整；发生重大质量事故、批量召回或顾客重大投诉；标准换版或适用法规发生重大变化；外部供方、市场或政策环境发生重大变化；总经理认为有必要时。临时评审可由总经理直接召集，输入内容按实际议题裁剪。</w:t>
      </w:r>
    </w:p>
    <w:p>
      <w:pPr>
        <w:numPr>
          <w:ilvl w:val="0"/>
          <w:numId w:val="1002"/>
        </w:numPr>
        <w:pStyle w:val="Compact"/>
      </w:pPr>
      <w:r>
        <w:t xml:space="preserve">归口管理部门随计划下发《管理评审输入提纲》（含各输入项的格式、数据口径与提交时限），输入材料提交截止时间应早于评审会议 3～5 个工作日。</w:t>
      </w:r>
    </w:p>
    <w:p>
      <w:pPr>
        <w:pStyle w:val="Heading3"/>
      </w:pPr>
      <w:bookmarkStart w:id="26" w:name="评审输入的准备"/>
      <w:r>
        <w:t xml:space="preserve">4.2 评审输入的准备</w:t>
      </w:r>
      <w:bookmarkEnd w:id="26"/>
    </w:p>
    <w:p>
      <w:pPr>
        <w:pStyle w:val="FirstParagraph"/>
      </w:pPr>
      <w:r>
        <w:t xml:space="preserve">各部门按输入提纲准备输入材料，输入内容应覆盖标准 9.3.2 要求的全部要素：</w:t>
      </w:r>
    </w:p>
    <w:p>
      <w:pPr>
        <w:numPr>
          <w:ilvl w:val="0"/>
          <w:numId w:val="1003"/>
        </w:numPr>
        <w:pStyle w:val="Compact"/>
      </w:pPr>
      <w:r>
        <w:rPr>
          <w:b/>
        </w:rPr>
        <w:t xml:space="preserve">以往管理评审所采取措施的实施情况</w:t>
      </w:r>
      <w:r>
        <w:t xml:space="preserve">——上期决议措施台账、各项措施完成率与有效性验证结论；</w:t>
      </w:r>
    </w:p>
    <w:p>
      <w:pPr>
        <w:numPr>
          <w:ilvl w:val="0"/>
          <w:numId w:val="1003"/>
        </w:numPr>
        <w:pStyle w:val="Compact"/>
      </w:pPr>
      <w:r>
        <w:rPr>
          <w:b/>
        </w:rPr>
        <w:t xml:space="preserve">与质量管理体系相关的内外部因素的变化</w:t>
      </w:r>
      <w:r>
        <w:t xml:space="preserve">——组织环境监视结果（市场、技术、法规、政策、竞争态势及内部变化）；</w:t>
      </w:r>
    </w:p>
    <w:p>
      <w:pPr>
        <w:numPr>
          <w:ilvl w:val="0"/>
          <w:numId w:val="1003"/>
        </w:numPr>
        <w:pStyle w:val="Compact"/>
      </w:pPr>
      <w:r>
        <w:rPr>
          <w:b/>
        </w:rPr>
        <w:t xml:space="preserve">有关质量管理体系绩效和有效性的信息及其趋势</w:t>
      </w:r>
      <w:r>
        <w:t xml:space="preserve">：</w:t>
      </w:r>
    </w:p>
    <w:p>
      <w:pPr>
        <w:numPr>
          <w:ilvl w:val="2"/>
          <w:numId w:val="1005"/>
        </w:numPr>
        <w:pStyle w:val="Compact"/>
      </w:pPr>
      <w:r>
        <w:t xml:space="preserve">顾客满意程度、顾客反馈及投诉处理情况；</w:t>
      </w:r>
    </w:p>
    <w:p>
      <w:pPr>
        <w:numPr>
          <w:ilvl w:val="2"/>
          <w:numId w:val="1006"/>
        </w:numPr>
        <w:pStyle w:val="Compact"/>
      </w:pPr>
      <w:r>
        <w:t xml:space="preserve">质量目标的实现程度（按部门、按目标逐项对照）；</w:t>
      </w:r>
    </w:p>
    <w:p>
      <w:pPr>
        <w:numPr>
          <w:ilvl w:val="2"/>
          <w:numId w:val="1007"/>
        </w:numPr>
        <w:pStyle w:val="Compact"/>
      </w:pPr>
      <w:r>
        <w:t xml:space="preserve">过程绩效以及产品和服务的符合性（一次合格率、交付准时率、过程能力等）；</w:t>
      </w:r>
    </w:p>
    <w:p>
      <w:pPr>
        <w:numPr>
          <w:ilvl w:val="2"/>
          <w:numId w:val="1008"/>
        </w:numPr>
        <w:pStyle w:val="Compact"/>
      </w:pPr>
      <w:r>
        <w:t xml:space="preserve">不合格情况及其纠正措施（内外部不合格批次、分布与处置闭环）；</w:t>
      </w:r>
    </w:p>
    <w:p>
      <w:pPr>
        <w:numPr>
          <w:ilvl w:val="2"/>
          <w:numId w:val="1009"/>
        </w:numPr>
        <w:pStyle w:val="Compact"/>
      </w:pPr>
      <w:r>
        <w:t xml:space="preserve">监视和测量结果（过程监视、产品检验、设备与计量状况）；</w:t>
      </w:r>
    </w:p>
    <w:p>
      <w:pPr>
        <w:numPr>
          <w:ilvl w:val="2"/>
          <w:numId w:val="1010"/>
        </w:numPr>
        <w:pStyle w:val="Compact"/>
      </w:pPr>
      <w:r>
        <w:t xml:space="preserve">审核结果（内部审核、认证审核、第二方审核的发现与不符合项分布）；</w:t>
      </w:r>
    </w:p>
    <w:p>
      <w:pPr>
        <w:numPr>
          <w:ilvl w:val="2"/>
          <w:numId w:val="1011"/>
        </w:numPr>
        <w:pStyle w:val="Compact"/>
      </w:pPr>
      <w:r>
        <w:t xml:space="preserve">外部供方的绩效（供方评价结果、来料合格率、交期与配合度）；</w:t>
      </w:r>
    </w:p>
    <w:p>
      <w:pPr>
        <w:numPr>
          <w:ilvl w:val="0"/>
          <w:numId w:val="1003"/>
        </w:numPr>
        <w:pStyle w:val="Compact"/>
      </w:pPr>
      <w:r>
        <w:rPr>
          <w:b/>
        </w:rPr>
        <w:t xml:space="preserve">资源的充分性</w:t>
      </w:r>
      <w:r>
        <w:t xml:space="preserve">——人力资源、设备设施、监测资源、知识资源及工作环境的满足程度与缺口；</w:t>
      </w:r>
    </w:p>
    <w:p>
      <w:pPr>
        <w:numPr>
          <w:ilvl w:val="0"/>
          <w:numId w:val="1003"/>
        </w:numPr>
        <w:pStyle w:val="Compact"/>
      </w:pPr>
      <w:r>
        <w:rPr>
          <w:b/>
        </w:rPr>
        <w:t xml:space="preserve">应对风险和机遇所采取措施的有效性</w:t>
      </w:r>
      <w:r>
        <w:t xml:space="preserve">——风险与机遇清单的更新情况、措施落实与残余风险评估；</w:t>
      </w:r>
    </w:p>
    <w:p>
      <w:pPr>
        <w:numPr>
          <w:ilvl w:val="0"/>
          <w:numId w:val="1003"/>
        </w:numPr>
        <w:pStyle w:val="Compact"/>
      </w:pPr>
      <w:r>
        <w:rPr>
          <w:b/>
        </w:rPr>
        <w:t xml:space="preserve">改进的机会</w:t>
      </w:r>
      <w:r>
        <w:t xml:space="preserve">——来自数据分析、合理化建议、标杆对比等的改进需求。</w:t>
      </w:r>
    </w:p>
    <w:p>
      <w:pPr>
        <w:pStyle w:val="FirstParagraph"/>
      </w:pPr>
      <w:r>
        <w:t xml:space="preserve">组织可结合实际增加的输入：合规性评价结果、质量成本（损失成本、预防成本）分析、相关方（监管、社区、员工）反馈、上期战略与经营目标落实情况等。</w:t>
      </w:r>
    </w:p>
    <w:p>
      <w:pPr>
        <w:pStyle w:val="BodyText"/>
      </w:pPr>
      <w:r>
        <w:t xml:space="preserve">输入材料应</w:t>
      </w:r>
      <w:r>
        <w:rPr>
          <w:b/>
        </w:rPr>
        <w:t xml:space="preserve">以数据说话</w:t>
      </w:r>
      <w:r>
        <w:t xml:space="preserve">：附趋势图、对比表与原因分析，杜绝只写</w:t>
      </w:r>
      <w:r>
        <w:t xml:space="preserve">“</w:t>
      </w:r>
      <w:r>
        <w:t xml:space="preserve">正常</w:t>
      </w:r>
      <w:r>
        <w:t xml:space="preserve">”</w:t>
      </w:r>
      <w:r>
        <w:t xml:space="preserve">“</w:t>
      </w:r>
      <w:r>
        <w:t xml:space="preserve">良好</w:t>
      </w:r>
      <w:r>
        <w:t xml:space="preserve">”</w:t>
      </w:r>
      <w:r>
        <w:t xml:space="preserve">的空泛表述。各输入报告经部门负责人签字后提交归口管理部门初审，材料明显不齐或数据口径不一致的，退回补充。</w:t>
      </w:r>
      <w:r>
        <w:rPr>
          <w:b/>
        </w:rPr>
        <w:t xml:space="preserve">输入材料未按提纲备齐的，不得召开评审会议。</w:t>
      </w:r>
    </w:p>
    <w:p>
      <w:pPr>
        <w:pStyle w:val="Heading3"/>
      </w:pPr>
      <w:bookmarkStart w:id="27" w:name="评审会议的实施"/>
      <w:r>
        <w:t xml:space="preserve">4.3 评审会议的实施</w:t>
      </w:r>
      <w:bookmarkEnd w:id="27"/>
    </w:p>
    <w:p>
      <w:pPr>
        <w:numPr>
          <w:ilvl w:val="0"/>
          <w:numId w:val="1012"/>
        </w:numPr>
        <w:pStyle w:val="Compact"/>
      </w:pPr>
      <w:r>
        <w:t xml:space="preserve">管理评审会议由总经理主持，管理者代表、各部门负责人及相关岗位人员参加，必要时可邀请关键外部供方、顾客代表或外部专家列席。</w:t>
      </w:r>
    </w:p>
    <w:p>
      <w:pPr>
        <w:numPr>
          <w:ilvl w:val="0"/>
          <w:numId w:val="1012"/>
        </w:numPr>
        <w:pStyle w:val="Compact"/>
      </w:pPr>
      <w:r>
        <w:t xml:space="preserve">会议议程一般按以下顺序进行：</w:t>
      </w:r>
    </w:p>
    <w:p>
      <w:pPr>
        <w:numPr>
          <w:ilvl w:val="2"/>
          <w:numId w:val="1014"/>
        </w:numPr>
        <w:pStyle w:val="Compact"/>
      </w:pPr>
      <w:r>
        <w:t xml:space="preserve">主持人宣布评审目的与议程；</w:t>
      </w:r>
    </w:p>
    <w:p>
      <w:pPr>
        <w:numPr>
          <w:ilvl w:val="2"/>
          <w:numId w:val="1015"/>
        </w:numPr>
        <w:pStyle w:val="Compact"/>
      </w:pPr>
      <w:r>
        <w:t xml:space="preserve">归口管理部门通报上期评审决议落实情况（逐项报告完成率）；</w:t>
      </w:r>
    </w:p>
    <w:p>
      <w:pPr>
        <w:numPr>
          <w:ilvl w:val="2"/>
          <w:numId w:val="1016"/>
        </w:numPr>
        <w:pStyle w:val="Compact"/>
      </w:pPr>
      <w:r>
        <w:t xml:space="preserve">依次听取各输入报告，与会人员质询、讨论；</w:t>
      </w:r>
    </w:p>
    <w:p>
      <w:pPr>
        <w:numPr>
          <w:ilvl w:val="2"/>
          <w:numId w:val="1017"/>
        </w:numPr>
        <w:pStyle w:val="Compact"/>
      </w:pPr>
      <w:r>
        <w:t xml:space="preserve">对体系的适宜性、充分性、有效性逐项作出评价结论；</w:t>
      </w:r>
    </w:p>
    <w:p>
      <w:pPr>
        <w:numPr>
          <w:ilvl w:val="2"/>
          <w:numId w:val="1018"/>
        </w:numPr>
        <w:pStyle w:val="Compact"/>
      </w:pPr>
      <w:r>
        <w:t xml:space="preserve">对突出的绩效短板与风险议题进行原因分析；</w:t>
      </w:r>
    </w:p>
    <w:p>
      <w:pPr>
        <w:numPr>
          <w:ilvl w:val="2"/>
          <w:numId w:val="1019"/>
        </w:numPr>
        <w:pStyle w:val="Compact"/>
      </w:pPr>
      <w:r>
        <w:t xml:space="preserve">逐项形成决议（做什么、谁来做、何时完成），由主持人当场确认。</w:t>
      </w:r>
    </w:p>
    <w:p>
      <w:pPr>
        <w:numPr>
          <w:ilvl w:val="0"/>
          <w:numId w:val="1012"/>
        </w:numPr>
        <w:pStyle w:val="Compact"/>
      </w:pPr>
      <w:r>
        <w:t xml:space="preserve">归口管理部门指定专人作会议记录，形成《管理评审会议记录》，如实记录讨论要点、评价结论、决议事项、责任部门与完成时限；会议时间一般控制在半天以内，议题较多时可分专题进行。</w:t>
      </w:r>
    </w:p>
    <w:p>
      <w:pPr>
        <w:numPr>
          <w:ilvl w:val="0"/>
          <w:numId w:val="1012"/>
        </w:numPr>
        <w:pStyle w:val="Compact"/>
      </w:pPr>
      <w:r>
        <w:t xml:space="preserve">对当场无法形成结论的重大议题，由总经理明确决策方式与时限（如 5～10 个工作日内专题研究确定），不得搁置不议。</w:t>
      </w:r>
    </w:p>
    <w:p>
      <w:pPr>
        <w:pStyle w:val="Heading3"/>
      </w:pPr>
      <w:bookmarkStart w:id="28" w:name="评审输出"/>
      <w:r>
        <w:t xml:space="preserve">4.4 评审输出</w:t>
      </w:r>
      <w:bookmarkEnd w:id="28"/>
    </w:p>
    <w:p>
      <w:pPr>
        <w:numPr>
          <w:ilvl w:val="0"/>
          <w:numId w:val="1020"/>
        </w:numPr>
        <w:pStyle w:val="Compact"/>
      </w:pPr>
      <w:r>
        <w:t xml:space="preserve">归口管理部门在评审会议结束后 5～7 个工作日内编制《管理评审报告》，内容包括：评审目的、时间、地点、主持人及参加人员、输入综述、体系三性（适宜性、充分性、有效性）评价结论、主要成绩与短板、决议事项清单。</w:t>
      </w:r>
    </w:p>
    <w:p>
      <w:pPr>
        <w:numPr>
          <w:ilvl w:val="0"/>
          <w:numId w:val="1020"/>
        </w:numPr>
        <w:pStyle w:val="Compact"/>
      </w:pPr>
      <w:r>
        <w:t xml:space="preserve">评审输出应包含以下方面的决定和措施（对照标准 9.3.3）：</w:t>
      </w:r>
    </w:p>
    <w:p>
      <w:pPr>
        <w:numPr>
          <w:ilvl w:val="2"/>
          <w:numId w:val="1022"/>
        </w:numPr>
        <w:pStyle w:val="Compact"/>
      </w:pPr>
      <w:r>
        <w:rPr>
          <w:b/>
        </w:rPr>
        <w:t xml:space="preserve">改进的机会</w:t>
      </w:r>
      <w:r>
        <w:t xml:space="preserve">：产品、过程与体系改进项目，质量方针与质量目标的调整建议；</w:t>
      </w:r>
    </w:p>
    <w:p>
      <w:pPr>
        <w:numPr>
          <w:ilvl w:val="2"/>
          <w:numId w:val="1023"/>
        </w:numPr>
        <w:pStyle w:val="Compact"/>
      </w:pPr>
      <w:r>
        <w:rPr>
          <w:b/>
        </w:rPr>
        <w:t xml:space="preserve">质量管理体系所需的变更</w:t>
      </w:r>
      <w:r>
        <w:t xml:space="preserve">：文件体系修订、组织机构与职责调整、过程增减或流程再造；</w:t>
      </w:r>
    </w:p>
    <w:p>
      <w:pPr>
        <w:numPr>
          <w:ilvl w:val="2"/>
          <w:numId w:val="1024"/>
        </w:numPr>
        <w:pStyle w:val="Compact"/>
      </w:pPr>
      <w:r>
        <w:rPr>
          <w:b/>
        </w:rPr>
        <w:t xml:space="preserve">资源需求</w:t>
      </w:r>
      <w:r>
        <w:t xml:space="preserve">：人员配置与能力建设、设备设施更新、计量与检测资源、资金预算、知识资源等。</w:t>
      </w:r>
    </w:p>
    <w:p>
      <w:pPr>
        <w:numPr>
          <w:ilvl w:val="0"/>
          <w:numId w:val="1020"/>
        </w:numPr>
        <w:pStyle w:val="Compact"/>
      </w:pPr>
      <w:r>
        <w:t xml:space="preserve">《管理评审报告》经总经理批准后，由归口管理部门按《文件控制程序》发放至相关部门，并作为受控文件管理。</w:t>
      </w:r>
    </w:p>
    <w:p>
      <w:pPr>
        <w:pStyle w:val="Heading3"/>
      </w:pPr>
      <w:bookmarkStart w:id="29" w:name="决议落实与跟踪验证"/>
      <w:r>
        <w:t xml:space="preserve">4.5 决议落实与跟踪验证</w:t>
      </w:r>
      <w:bookmarkEnd w:id="29"/>
    </w:p>
    <w:p>
      <w:pPr>
        <w:numPr>
          <w:ilvl w:val="0"/>
          <w:numId w:val="1025"/>
        </w:numPr>
        <w:pStyle w:val="Compact"/>
      </w:pPr>
      <w:r>
        <w:t xml:space="preserve">归口管理部门将报告中的决议事项逐项录入《管理评审输出措施跟踪表》，明确责任部门、完成时限（一般 30～60 个工作日，重大改进项目可跨年度并分阶段设定里程碑）。</w:t>
      </w:r>
    </w:p>
    <w:p>
      <w:pPr>
        <w:numPr>
          <w:ilvl w:val="0"/>
          <w:numId w:val="1025"/>
        </w:numPr>
        <w:pStyle w:val="Compact"/>
      </w:pPr>
      <w:r>
        <w:t xml:space="preserve">责任部门按期组织实施，完成后向归口管理部门提交完成证据（文件修订稿、培训记录、采购凭证、数据对比等）。</w:t>
      </w:r>
    </w:p>
    <w:p>
      <w:pPr>
        <w:numPr>
          <w:ilvl w:val="0"/>
          <w:numId w:val="1025"/>
        </w:numPr>
        <w:pStyle w:val="Compact"/>
      </w:pPr>
      <w:r>
        <w:t xml:space="preserve">归口管理部门对到期事项进行跟踪验证，验证内容包括：措施是否按计划实施、实施结果是否达到预期、是否需要进一步措施。验证结论记入跟踪表。</w:t>
      </w:r>
    </w:p>
    <w:p>
      <w:pPr>
        <w:numPr>
          <w:ilvl w:val="0"/>
          <w:numId w:val="1025"/>
        </w:numPr>
        <w:pStyle w:val="Compact"/>
      </w:pPr>
      <w:r>
        <w:t xml:space="preserve">未按期完成的事项，责任部门应书面说明原因，由归口管理部门报管理者代表协调；涉及资源或跨部门协调的，提请总经理裁决。跟踪表应持续更新，直至全部决议关闭。</w:t>
      </w:r>
    </w:p>
    <w:p>
      <w:pPr>
        <w:numPr>
          <w:ilvl w:val="0"/>
          <w:numId w:val="1025"/>
        </w:numPr>
        <w:pStyle w:val="Compact"/>
      </w:pPr>
      <w:r>
        <w:t xml:space="preserve">决议涉及文件更改的，按《文件控制程序》办理；涉及纠正措施的，按《不合格与纠正措施程序》执行；需要调整目标的，纳入下一年度目标分解。</w:t>
      </w:r>
    </w:p>
    <w:p>
      <w:pPr>
        <w:pStyle w:val="Heading3"/>
      </w:pPr>
      <w:bookmarkStart w:id="30" w:name="流程图文字版"/>
      <w:r>
        <w:t xml:space="preserve">4.6 流程图文字版</w:t>
      </w:r>
      <w:bookmarkEnd w:id="30"/>
    </w:p>
    <w:p>
      <w:pPr>
        <w:pStyle w:val="SourceCode"/>
      </w:pPr>
      <w:r>
        <w:rPr>
          <w:rStyle w:val="VerbatimChar"/>
        </w:rPr>
        <w:t xml:space="preserve">（1）评审策划：年度计划 + 输入提纲 → 总经理批准</w:t>
      </w:r>
      <w:r>
        <w:br/>
      </w:r>
      <w:r>
        <w:rPr>
          <w:rStyle w:val="VerbatimChar"/>
        </w:rPr>
        <w:t xml:space="preserve">      ↓</w:t>
      </w:r>
      <w:r>
        <w:br/>
      </w:r>
      <w:r>
        <w:rPr>
          <w:rStyle w:val="VerbatimChar"/>
        </w:rPr>
        <w:t xml:space="preserve">（2）输入准备：各部门提交输入报告（九项输入，数据化）→ 归口部门初审</w:t>
      </w:r>
      <w:r>
        <w:br/>
      </w:r>
      <w:r>
        <w:rPr>
          <w:rStyle w:val="VerbatimChar"/>
        </w:rPr>
        <w:t xml:space="preserve">      ↓</w:t>
      </w:r>
      <w:r>
        <w:br/>
      </w:r>
      <w:r>
        <w:rPr>
          <w:rStyle w:val="VerbatimChar"/>
        </w:rPr>
        <w:t xml:space="preserve">（3）实施评审：总经理主持 → 通报上期决议 → 逐项评审输入 → 评价三性（适宜/充分/有效）</w:t>
      </w:r>
      <w:r>
        <w:br/>
      </w:r>
      <w:r>
        <w:rPr>
          <w:rStyle w:val="VerbatimChar"/>
        </w:rPr>
        <w:t xml:space="preserve">      ↓</w:t>
      </w:r>
      <w:r>
        <w:br/>
      </w:r>
      <w:r>
        <w:rPr>
          <w:rStyle w:val="VerbatimChar"/>
        </w:rPr>
        <w:t xml:space="preserve">（4）形成输出：改进机会 / 体系变更 / 资源需求 决议 → 总经理批准《管理评审报告》</w:t>
      </w:r>
      <w:r>
        <w:br/>
      </w:r>
      <w:r>
        <w:rPr>
          <w:rStyle w:val="VerbatimChar"/>
        </w:rPr>
        <w:t xml:space="preserve">      ↓</w:t>
      </w:r>
      <w:r>
        <w:br/>
      </w:r>
      <w:r>
        <w:rPr>
          <w:rStyle w:val="VerbatimChar"/>
        </w:rPr>
        <w:t xml:space="preserve">（5）落实跟踪：措施台账 → 责任部门实施 → 归口部门到期验证</w:t>
      </w:r>
      <w:r>
        <w:br/>
      </w:r>
      <w:r>
        <w:rPr>
          <w:rStyle w:val="VerbatimChar"/>
        </w:rPr>
        <w:t xml:space="preserve">      ↓</w:t>
      </w:r>
      <w:r>
        <w:br/>
      </w:r>
      <w:r>
        <w:rPr>
          <w:rStyle w:val="VerbatimChar"/>
        </w:rPr>
        <w:t xml:space="preserve">（6）闭环：验证结论与完成率 → 作为下次管理评审的首项输入</w:t>
      </w:r>
    </w:p>
    <w:p>
      <w:pPr>
        <w:pStyle w:val="Heading3"/>
      </w:pPr>
      <w:bookmarkStart w:id="31" w:name="表单引用"/>
      <w:r>
        <w:t xml:space="preserve">4.7 表单引用</w:t>
      </w:r>
      <w:bookmarkEnd w:id="31"/>
    </w:p>
    <w:p>
      <w:pPr>
        <w:pStyle w:val="FirstParagraph"/>
      </w:pPr>
      <w:r>
        <w:t xml:space="preserve">本程序运行涉及以下表单，格式见《记录控制程序》附录及四级文件表单模板：</w:t>
      </w:r>
    </w:p>
    <w:tbl>
      <w:tblPr>
        <w:tblStyle w:val="Table"/>
        <w:tblW w:type="pct" w:w="0.0"/>
        <w:tblLook w:firstRow="1"/>
      </w:tblPr>
      <w:tblGrid/>
      <w:tr>
        <w:trPr>
          <w:cnfStyle w:firstRow="1"/>
        </w:trPr>
        <w:tc>
          <w:tcPr>
            <w:tcBorders>
              <w:bottom w:val="single"/>
            </w:tcBorders>
            <w:vAlign w:val="bottom"/>
          </w:tcPr>
          <w:p>
            <w:pPr>
              <w:pStyle w:val="Compact"/>
              <w:jc w:val="left"/>
            </w:pPr>
            <w:r>
              <w:t xml:space="preserve">表单名称</w:t>
            </w:r>
          </w:p>
        </w:tc>
        <w:tc>
          <w:tcPr>
            <w:tcBorders>
              <w:bottom w:val="single"/>
            </w:tcBorders>
            <w:vAlign w:val="bottom"/>
          </w:tcPr>
          <w:p>
            <w:pPr>
              <w:pStyle w:val="Compact"/>
              <w:jc w:val="left"/>
            </w:pPr>
            <w:r>
              <w:t xml:space="preserve">编号</w:t>
            </w:r>
          </w:p>
        </w:tc>
        <w:tc>
          <w:tcPr>
            <w:tcBorders>
              <w:bottom w:val="single"/>
            </w:tcBorders>
            <w:vAlign w:val="bottom"/>
          </w:tcPr>
          <w:p>
            <w:pPr>
              <w:pStyle w:val="Compact"/>
              <w:jc w:val="left"/>
            </w:pPr>
            <w:r>
              <w:t xml:space="preserve">填写人</w:t>
            </w:r>
          </w:p>
        </w:tc>
        <w:tc>
          <w:tcPr>
            <w:tcBorders>
              <w:bottom w:val="single"/>
            </w:tcBorders>
            <w:vAlign w:val="bottom"/>
          </w:tcPr>
          <w:p>
            <w:pPr>
              <w:pStyle w:val="Compact"/>
              <w:jc w:val="left"/>
            </w:pPr>
            <w:r>
              <w:t xml:space="preserve">保存期限</w:t>
            </w:r>
          </w:p>
        </w:tc>
      </w:tr>
      <w:tr>
        <w:tc>
          <w:p>
            <w:pPr>
              <w:pStyle w:val="Compact"/>
              <w:jc w:val="left"/>
            </w:pPr>
            <w:r>
              <w:t xml:space="preserve">年度管理评审计划</w:t>
            </w:r>
          </w:p>
        </w:tc>
        <w:tc>
          <w:p>
            <w:pPr>
              <w:pStyle w:val="Compact"/>
              <w:jc w:val="left"/>
            </w:pPr>
            <w:r>
              <w:t xml:space="preserve">QR-26-01</w:t>
            </w:r>
          </w:p>
        </w:tc>
        <w:tc>
          <w:p>
            <w:pPr>
              <w:pStyle w:val="Compact"/>
              <w:jc w:val="left"/>
            </w:pPr>
            <w:r>
              <w:t xml:space="preserve">归口管理部门</w:t>
            </w:r>
          </w:p>
        </w:tc>
        <w:tc>
          <w:p>
            <w:pPr>
              <w:pStyle w:val="Compact"/>
              <w:jc w:val="left"/>
            </w:pPr>
            <w:r>
              <w:t xml:space="preserve">3 年</w:t>
            </w:r>
          </w:p>
        </w:tc>
      </w:tr>
      <w:tr>
        <w:tc>
          <w:p>
            <w:pPr>
              <w:pStyle w:val="Compact"/>
              <w:jc w:val="left"/>
            </w:pPr>
            <w:r>
              <w:t xml:space="preserve">管理评审输入提纲及输入报告</w:t>
            </w:r>
          </w:p>
        </w:tc>
        <w:tc>
          <w:p>
            <w:pPr>
              <w:pStyle w:val="Compact"/>
              <w:jc w:val="left"/>
            </w:pPr>
            <w:r>
              <w:t xml:space="preserve">QR-26-02</w:t>
            </w:r>
          </w:p>
        </w:tc>
        <w:tc>
          <w:p>
            <w:pPr>
              <w:pStyle w:val="Compact"/>
              <w:jc w:val="left"/>
            </w:pPr>
            <w:r>
              <w:t xml:space="preserve">各部门</w:t>
            </w:r>
          </w:p>
        </w:tc>
        <w:tc>
          <w:p>
            <w:pPr>
              <w:pStyle w:val="Compact"/>
              <w:jc w:val="left"/>
            </w:pPr>
            <w:r>
              <w:t xml:space="preserve">3 年</w:t>
            </w:r>
          </w:p>
        </w:tc>
      </w:tr>
      <w:tr>
        <w:tc>
          <w:p>
            <w:pPr>
              <w:pStyle w:val="Compact"/>
              <w:jc w:val="left"/>
            </w:pPr>
            <w:r>
              <w:t xml:space="preserve">管理评审会议记录</w:t>
            </w:r>
          </w:p>
        </w:tc>
        <w:tc>
          <w:p>
            <w:pPr>
              <w:pStyle w:val="Compact"/>
              <w:jc w:val="left"/>
            </w:pPr>
            <w:r>
              <w:t xml:space="preserve">QR-26-03</w:t>
            </w:r>
          </w:p>
        </w:tc>
        <w:tc>
          <w:p>
            <w:pPr>
              <w:pStyle w:val="Compact"/>
              <w:jc w:val="left"/>
            </w:pPr>
            <w:r>
              <w:t xml:space="preserve">归口管理部门</w:t>
            </w:r>
          </w:p>
        </w:tc>
        <w:tc>
          <w:p>
            <w:pPr>
              <w:pStyle w:val="Compact"/>
              <w:jc w:val="left"/>
            </w:pPr>
            <w:r>
              <w:t xml:space="preserve">3 年</w:t>
            </w:r>
          </w:p>
        </w:tc>
      </w:tr>
      <w:tr>
        <w:tc>
          <w:p>
            <w:pPr>
              <w:pStyle w:val="Compact"/>
              <w:jc w:val="left"/>
            </w:pPr>
            <w:r>
              <w:t xml:space="preserve">管理评审报告</w:t>
            </w:r>
          </w:p>
        </w:tc>
        <w:tc>
          <w:p>
            <w:pPr>
              <w:pStyle w:val="Compact"/>
              <w:jc w:val="left"/>
            </w:pPr>
            <w:r>
              <w:t xml:space="preserve">QR-26-04</w:t>
            </w:r>
          </w:p>
        </w:tc>
        <w:tc>
          <w:p>
            <w:pPr>
              <w:pStyle w:val="Compact"/>
              <w:jc w:val="left"/>
            </w:pPr>
            <w:r>
              <w:t xml:space="preserve">归口管理部门</w:t>
            </w:r>
          </w:p>
        </w:tc>
        <w:tc>
          <w:p>
            <w:pPr>
              <w:pStyle w:val="Compact"/>
              <w:jc w:val="left"/>
            </w:pPr>
            <w:r>
              <w:t xml:space="preserve">长期</w:t>
            </w:r>
          </w:p>
        </w:tc>
      </w:tr>
      <w:tr>
        <w:tc>
          <w:p>
            <w:pPr>
              <w:pStyle w:val="Compact"/>
              <w:jc w:val="left"/>
            </w:pPr>
            <w:r>
              <w:t xml:space="preserve">管理评审输出措施跟踪表</w:t>
            </w:r>
          </w:p>
        </w:tc>
        <w:tc>
          <w:p>
            <w:pPr>
              <w:pStyle w:val="Compact"/>
              <w:jc w:val="left"/>
            </w:pPr>
            <w:r>
              <w:t xml:space="preserve">QR-26-05</w:t>
            </w:r>
          </w:p>
        </w:tc>
        <w:tc>
          <w:p>
            <w:pPr>
              <w:pStyle w:val="Compact"/>
              <w:jc w:val="left"/>
            </w:pPr>
            <w:r>
              <w:t xml:space="preserve">归口管理部门</w:t>
            </w:r>
          </w:p>
        </w:tc>
        <w:tc>
          <w:p>
            <w:pPr>
              <w:pStyle w:val="Compact"/>
              <w:jc w:val="left"/>
            </w:pPr>
            <w:r>
              <w:t xml:space="preserve">3 年</w:t>
            </w:r>
          </w:p>
        </w:tc>
      </w:tr>
    </w:tbl>
    <w:p>
      <w:pPr>
        <w:pStyle w:val="Heading2"/>
      </w:pPr>
      <w:bookmarkStart w:id="32" w:name="五相关记录"/>
      <w:r>
        <w:t xml:space="preserve">五、相关记录</w:t>
      </w:r>
      <w:bookmarkEnd w:id="32"/>
    </w:p>
    <w:p>
      <w:pPr>
        <w:numPr>
          <w:ilvl w:val="0"/>
          <w:numId w:val="1026"/>
        </w:numPr>
        <w:pStyle w:val="Compact"/>
      </w:pPr>
      <w:r>
        <w:t xml:space="preserve">《年度管理评审计划》；</w:t>
      </w:r>
    </w:p>
    <w:p>
      <w:pPr>
        <w:numPr>
          <w:ilvl w:val="0"/>
          <w:numId w:val="1026"/>
        </w:numPr>
        <w:pStyle w:val="Compact"/>
      </w:pPr>
      <w:r>
        <w:t xml:space="preserve">各部门《管理评审输入报告》（含满意度分析、目标达成统计、审核报告、风险措施评价等支撑材料）；</w:t>
      </w:r>
    </w:p>
    <w:p>
      <w:pPr>
        <w:numPr>
          <w:ilvl w:val="0"/>
          <w:numId w:val="1026"/>
        </w:numPr>
        <w:pStyle w:val="Compact"/>
      </w:pPr>
      <w:r>
        <w:t xml:space="preserve">《管理评审会议记录》及签到表；</w:t>
      </w:r>
    </w:p>
    <w:p>
      <w:pPr>
        <w:numPr>
          <w:ilvl w:val="0"/>
          <w:numId w:val="1026"/>
        </w:numPr>
        <w:pStyle w:val="Compact"/>
      </w:pPr>
      <w:r>
        <w:t xml:space="preserve">《管理评审报告》；</w:t>
      </w:r>
    </w:p>
    <w:p>
      <w:pPr>
        <w:numPr>
          <w:ilvl w:val="0"/>
          <w:numId w:val="1026"/>
        </w:numPr>
        <w:pStyle w:val="Compact"/>
      </w:pPr>
      <w:r>
        <w:t xml:space="preserve">《管理评审输出措施跟踪表》。</w:t>
      </w:r>
    </w:p>
    <w:p>
      <w:pPr>
        <w:pStyle w:val="FirstParagraph"/>
      </w:pPr>
      <w:r>
        <w:t xml:space="preserve">以上记录按《记录控制程序》归档，保存期限见 4.7 表；管理评审报告作为体系运行的重要证据，保存期限不少于 3 年或按法规要求执行。</w:t>
      </w:r>
    </w:p>
    <w:p>
      <w:pPr>
        <w:pStyle w:val="Heading2"/>
      </w:pPr>
      <w:bookmarkStart w:id="33" w:name="六相关文件"/>
      <w:r>
        <w:t xml:space="preserve">六、相关文件</w:t>
      </w:r>
      <w:bookmarkEnd w:id="33"/>
    </w:p>
    <w:p>
      <w:pPr>
        <w:numPr>
          <w:ilvl w:val="0"/>
          <w:numId w:val="1027"/>
        </w:numPr>
        <w:pStyle w:val="Compact"/>
      </w:pPr>
      <w:r>
        <w:t xml:space="preserve">ISO 9001:2015《质量管理体系 要求》条款 9.3；</w:t>
      </w:r>
    </w:p>
    <w:p>
      <w:pPr>
        <w:numPr>
          <w:ilvl w:val="0"/>
          <w:numId w:val="1027"/>
        </w:numPr>
        <w:pStyle w:val="Compact"/>
      </w:pPr>
      <w:r>
        <w:t xml:space="preserve">《记录控制程序》；</w:t>
      </w:r>
    </w:p>
    <w:p>
      <w:pPr>
        <w:numPr>
          <w:ilvl w:val="0"/>
          <w:numId w:val="1027"/>
        </w:numPr>
        <w:pStyle w:val="Compact"/>
      </w:pPr>
      <w:r>
        <w:t xml:space="preserve">《文件控制程序》；</w:t>
      </w:r>
    </w:p>
    <w:p>
      <w:pPr>
        <w:numPr>
          <w:ilvl w:val="0"/>
          <w:numId w:val="1027"/>
        </w:numPr>
        <w:pStyle w:val="Compact"/>
      </w:pPr>
      <w:r>
        <w:t xml:space="preserve">《内部审核程序》；</w:t>
      </w:r>
    </w:p>
    <w:p>
      <w:pPr>
        <w:numPr>
          <w:ilvl w:val="0"/>
          <w:numId w:val="1027"/>
        </w:numPr>
        <w:pStyle w:val="Compact"/>
      </w:pPr>
      <w:r>
        <w:t xml:space="preserve">《不合格与纠正措施程序》；</w:t>
      </w:r>
    </w:p>
    <w:p>
      <w:pPr>
        <w:numPr>
          <w:ilvl w:val="0"/>
          <w:numId w:val="1027"/>
        </w:numPr>
        <w:pStyle w:val="Compact"/>
      </w:pPr>
      <w:r>
        <w:t xml:space="preserve">《持续改进程序》；</w:t>
      </w:r>
    </w:p>
    <w:p>
      <w:pPr>
        <w:numPr>
          <w:ilvl w:val="0"/>
          <w:numId w:val="1027"/>
        </w:numPr>
        <w:pStyle w:val="Compact"/>
      </w:pPr>
      <w:r>
        <w:t xml:space="preserve">《数据分析与评价程序》；</w:t>
      </w:r>
    </w:p>
    <w:p>
      <w:pPr>
        <w:numPr>
          <w:ilvl w:val="0"/>
          <w:numId w:val="1027"/>
        </w:numPr>
        <w:pStyle w:val="Compact"/>
      </w:pPr>
      <w:r>
        <w:t xml:space="preserve">《风险与机遇管理程序》；</w:t>
      </w:r>
    </w:p>
    <w:p>
      <w:pPr>
        <w:numPr>
          <w:ilvl w:val="0"/>
          <w:numId w:val="1027"/>
        </w:numPr>
        <w:pStyle w:val="Compact"/>
      </w:pPr>
      <w:r>
        <w:t xml:space="preserve">《质量方针与质量目标管理程序》。</w:t>
      </w:r>
    </w:p>
    <w:p>
      <w:pPr>
        <w:pStyle w:val="Heading2"/>
      </w:pPr>
      <w:bookmarkStart w:id="34" w:name="使用说明"/>
      <w:r>
        <w:t xml:space="preserve">使用说明</w:t>
      </w:r>
      <w:bookmarkEnd w:id="34"/>
    </w:p>
    <w:p>
      <w:pPr>
        <w:pStyle w:val="FirstParagraph"/>
      </w:pPr>
      <w:r>
        <w:rPr>
          <w:b/>
        </w:rPr>
        <w:t xml:space="preserve">一、如何按企业实际修改</w:t>
      </w:r>
    </w:p>
    <w:p>
      <w:pPr>
        <w:numPr>
          <w:ilvl w:val="0"/>
          <w:numId w:val="1028"/>
        </w:numPr>
        <w:pStyle w:val="Compact"/>
      </w:pPr>
      <w:r>
        <w:rPr>
          <w:b/>
        </w:rPr>
        <w:t xml:space="preserve">组织适配</w:t>
      </w:r>
      <w:r>
        <w:t xml:space="preserve">：小企业可由总经理兼任管理者代表，</w:t>
      </w:r>
      <w:r>
        <w:t xml:space="preserve">“</w:t>
      </w:r>
      <w:r>
        <w:t xml:space="preserve">归口管理部门</w:t>
      </w:r>
      <w:r>
        <w:t xml:space="preserve">”</w:t>
      </w:r>
      <w:r>
        <w:t xml:space="preserve">职责由品质部或综合部一人承担，输入报告可由各部门负责人口头汇报加一页数据表完成，但总经理亲自主持、形成书面决议两条底线不能省。集团型企业可在各分子公司分别评审的基础上，再由集团层开展覆盖战略与资源的总体评审。</w:t>
      </w:r>
    </w:p>
    <w:p>
      <w:pPr>
        <w:numPr>
          <w:ilvl w:val="0"/>
          <w:numId w:val="1028"/>
        </w:numPr>
        <w:pStyle w:val="Compact"/>
      </w:pPr>
      <w:r>
        <w:rPr>
          <w:b/>
        </w:rPr>
        <w:t xml:space="preserve">频次适配</w:t>
      </w:r>
      <w:r>
        <w:t xml:space="preserve">：体系成熟、绩效稳定的企业可保持一年一次；新体系运行前两年、标准换版当年或处于业务快速扩张期的企业，建议每半年一次；遇到重大变更可随时追加临时评审，不必等年度节点。</w:t>
      </w:r>
    </w:p>
    <w:p>
      <w:pPr>
        <w:numPr>
          <w:ilvl w:val="0"/>
          <w:numId w:val="1028"/>
        </w:numPr>
        <w:pStyle w:val="Compact"/>
      </w:pPr>
      <w:r>
        <w:rPr>
          <w:b/>
        </w:rPr>
        <w:t xml:space="preserve">会议形式适配</w:t>
      </w:r>
      <w:r>
        <w:t xml:space="preserve">：可将管理评审与年度经营分析会、战略回顾会合并召开，但议程中必须保留</w:t>
      </w:r>
      <w:r>
        <w:t xml:space="preserve">“</w:t>
      </w:r>
      <w:r>
        <w:t xml:space="preserve">体系三性评价</w:t>
      </w:r>
      <w:r>
        <w:t xml:space="preserve">”</w:t>
      </w:r>
      <w:r>
        <w:t xml:space="preserve">的独立环节并有对应记录，避免被外审判定</w:t>
      </w:r>
      <w:r>
        <w:t xml:space="preserve">“</w:t>
      </w:r>
      <w:r>
        <w:t xml:space="preserve">以经营会替代管理评审</w:t>
      </w:r>
      <w:r>
        <w:t xml:space="preserve">”</w:t>
      </w:r>
      <w:r>
        <w:t xml:space="preserve">；输入材料多时可采取</w:t>
      </w:r>
      <w:r>
        <w:t xml:space="preserve">“</w:t>
      </w:r>
      <w:r>
        <w:t xml:space="preserve">会前书面预审＋会中重点研讨</w:t>
      </w:r>
      <w:r>
        <w:t xml:space="preserve">”</w:t>
      </w:r>
      <w:r>
        <w:t xml:space="preserve">方式提高效率。</w:t>
      </w:r>
    </w:p>
    <w:p>
      <w:pPr>
        <w:numPr>
          <w:ilvl w:val="0"/>
          <w:numId w:val="1028"/>
        </w:numPr>
        <w:pStyle w:val="Compact"/>
      </w:pPr>
      <w:r>
        <w:rPr>
          <w:b/>
        </w:rPr>
        <w:t xml:space="preserve">内容适配</w:t>
      </w:r>
      <w:r>
        <w:t xml:space="preserve">：服务业应增加服务交付质量、顾客体验与投诉趋势的输入；工程项目可增加分包方绩效与施工现场合规输入；涉及法规监管的行业（食品、医疗、化工）应把合规性评价列为固定输入项。</w:t>
      </w:r>
    </w:p>
    <w:p>
      <w:pPr>
        <w:pStyle w:val="FirstParagraph"/>
      </w:pPr>
      <w:r>
        <w:rPr>
          <w:b/>
        </w:rPr>
        <w:t xml:space="preserve">二、审核关注点</w:t>
      </w:r>
    </w:p>
    <w:p>
      <w:pPr>
        <w:numPr>
          <w:ilvl w:val="0"/>
          <w:numId w:val="1029"/>
        </w:numPr>
        <w:pStyle w:val="Compact"/>
      </w:pPr>
      <w:r>
        <w:t xml:space="preserve">认证审核时外审员重点核查：评审是否由最高管理者亲自主持（查会议记录主持人签字、签到表）；输入是否覆盖 9.3.2 全部要素且有数据支撑；输出是否包含 9.3.3 要求的改进、变更、资源三类决定；上期决议是否在本次评审中闭环验证。</w:t>
      </w:r>
    </w:p>
    <w:p>
      <w:pPr>
        <w:numPr>
          <w:ilvl w:val="0"/>
          <w:numId w:val="1029"/>
        </w:numPr>
        <w:pStyle w:val="Compact"/>
      </w:pPr>
      <w:r>
        <w:t xml:space="preserve">常见追问：</w:t>
      </w:r>
      <w:r>
        <w:t xml:space="preserve">“</w:t>
      </w:r>
      <w:r>
        <w:t xml:space="preserve">上次管理评审决议完成了几项？没完成的原因是什么？</w:t>
      </w:r>
      <w:r>
        <w:t xml:space="preserve">”</w:t>
      </w:r>
      <w:r>
        <w:t xml:space="preserve">“</w:t>
      </w:r>
      <w:r>
        <w:t xml:space="preserve">评审输入里的审核结果与内审报告数据是否一致？</w:t>
      </w:r>
      <w:r>
        <w:t xml:space="preserve">”</w:t>
      </w:r>
      <w:r>
        <w:t xml:space="preserve">“</w:t>
      </w:r>
      <w:r>
        <w:t xml:space="preserve">资源充分性是怎么评价的？</w:t>
      </w:r>
      <w:r>
        <w:t xml:space="preserve">”</w:t>
      </w:r>
      <w:r>
        <w:t xml:space="preserve">——建议将《管理评审输出措施跟踪表》与输入报告数据链（内审报告、满意度报告、目标统计表）提前归档对应，保证任何一项输入都能追溯到原始记录。</w:t>
      </w:r>
    </w:p>
    <w:p>
      <w:pPr>
        <w:numPr>
          <w:ilvl w:val="0"/>
          <w:numId w:val="1029"/>
        </w:numPr>
        <w:pStyle w:val="Compact"/>
      </w:pPr>
      <w:r>
        <w:t xml:space="preserve">注意 9.3 与 9.1.3、9.2、10.2、10.3 的联动：数据分析结论、内审结果是管理评审输入，评审决议中的改进事项应能追溯到持续改进与纠正措施程序，这条</w:t>
      </w:r>
      <w:r>
        <w:t xml:space="preserve">“</w:t>
      </w:r>
      <w:r>
        <w:t xml:space="preserve">数据→评价→决策→改进</w:t>
      </w:r>
      <w:r>
        <w:t xml:space="preserve">”</w:t>
      </w:r>
      <w:r>
        <w:t xml:space="preserve">的证据链是近年审核的高频核查点。</w:t>
      </w:r>
    </w:p>
    <w:p>
      <w:pPr>
        <w:pStyle w:val="FirstParagraph"/>
      </w:pPr>
      <w:r>
        <w:rPr>
          <w:b/>
        </w:rPr>
        <w:t xml:space="preserve">三、常见错误</w:t>
      </w:r>
    </w:p>
    <w:p>
      <w:pPr>
        <w:numPr>
          <w:ilvl w:val="0"/>
          <w:numId w:val="1030"/>
        </w:numPr>
        <w:pStyle w:val="Compact"/>
      </w:pPr>
      <w:r>
        <w:rPr>
          <w:b/>
        </w:rPr>
        <w:t xml:space="preserve">开成生产例会</w:t>
      </w:r>
      <w:r>
        <w:t xml:space="preserve">：整场会议只谈订单、交付与客户催货，没有对体系适宜性、充分性、有效性的系统评价，报告也写成工作总结——管理评审评的是</w:t>
      </w:r>
      <w:r>
        <w:t xml:space="preserve">“</w:t>
      </w:r>
      <w:r>
        <w:t xml:space="preserve">体系</w:t>
      </w:r>
      <w:r>
        <w:t xml:space="preserve">”</w:t>
      </w:r>
      <w:r>
        <w:t xml:space="preserve">，不是</w:t>
      </w:r>
      <w:r>
        <w:t xml:space="preserve">“</w:t>
      </w:r>
      <w:r>
        <w:t xml:space="preserve">业务进度</w:t>
      </w:r>
      <w:r>
        <w:t xml:space="preserve">”</w:t>
      </w:r>
      <w:r>
        <w:t xml:space="preserve">。</w:t>
      </w:r>
    </w:p>
    <w:p>
      <w:pPr>
        <w:numPr>
          <w:ilvl w:val="0"/>
          <w:numId w:val="1030"/>
        </w:numPr>
        <w:pStyle w:val="Compact"/>
      </w:pPr>
      <w:r>
        <w:rPr>
          <w:b/>
        </w:rPr>
        <w:t xml:space="preserve">最高管理者缺席</w:t>
      </w:r>
      <w:r>
        <w:t xml:space="preserve">：由管理者代表或品质部经理代为主持，会议记录上主持人不是总经理，会被开不符合项；确需调整时间时应变更计划而非变更主持人。</w:t>
      </w:r>
    </w:p>
    <w:p>
      <w:pPr>
        <w:numPr>
          <w:ilvl w:val="0"/>
          <w:numId w:val="1030"/>
        </w:numPr>
        <w:pStyle w:val="Compact"/>
      </w:pPr>
      <w:r>
        <w:rPr>
          <w:b/>
        </w:rPr>
        <w:t xml:space="preserve">输入输出缺项</w:t>
      </w:r>
      <w:r>
        <w:t xml:space="preserve">：输入漏掉</w:t>
      </w:r>
      <w:r>
        <w:t xml:space="preserve">“</w:t>
      </w:r>
      <w:r>
        <w:t xml:space="preserve">外部供方绩效</w:t>
      </w:r>
      <w:r>
        <w:t xml:space="preserve">”</w:t>
      </w:r>
      <w:r>
        <w:t xml:space="preserve">“</w:t>
      </w:r>
      <w:r>
        <w:t xml:space="preserve">风险措施有效性</w:t>
      </w:r>
      <w:r>
        <w:t xml:space="preserve">”</w:t>
      </w:r>
      <w:r>
        <w:t xml:space="preserve">“</w:t>
      </w:r>
      <w:r>
        <w:t xml:space="preserve">资源充分性</w:t>
      </w:r>
      <w:r>
        <w:t xml:space="preserve">”</w:t>
      </w:r>
      <w:r>
        <w:t xml:space="preserve">，输出漏掉</w:t>
      </w:r>
      <w:r>
        <w:t xml:space="preserve">“</w:t>
      </w:r>
      <w:r>
        <w:t xml:space="preserve">变更需求</w:t>
      </w:r>
      <w:r>
        <w:t xml:space="preserve">”</w:t>
      </w:r>
      <w:r>
        <w:t xml:space="preserve">或</w:t>
      </w:r>
      <w:r>
        <w:t xml:space="preserve">“</w:t>
      </w:r>
      <w:r>
        <w:t xml:space="preserve">资源需求</w:t>
      </w:r>
      <w:r>
        <w:t xml:space="preserve">”</w:t>
      </w:r>
      <w:r>
        <w:t xml:space="preserve">，与标准 9.3.2/9.3.3 逐条对照即可自查。</w:t>
      </w:r>
    </w:p>
    <w:p>
      <w:pPr>
        <w:numPr>
          <w:ilvl w:val="0"/>
          <w:numId w:val="1030"/>
        </w:numPr>
        <w:pStyle w:val="Compact"/>
      </w:pPr>
      <w:r>
        <w:rPr>
          <w:b/>
        </w:rPr>
        <w:t xml:space="preserve">决议不闭环</w:t>
      </w:r>
      <w:r>
        <w:t xml:space="preserve">：报告写了五六条决议，但没有责任部门、完成时限，也无跟踪验证记录，下次评审无人提及——应坚持</w:t>
      </w:r>
      <w:r>
        <w:t xml:space="preserve">“</w:t>
      </w:r>
      <w:r>
        <w:t xml:space="preserve">一事一责任人一时限</w:t>
      </w:r>
      <w:r>
        <w:t xml:space="preserve">”</w:t>
      </w:r>
      <w:r>
        <w:t xml:space="preserve">，用跟踪表逐项关闭。</w:t>
      </w:r>
    </w:p>
    <w:p>
      <w:pPr>
        <w:numPr>
          <w:ilvl w:val="0"/>
          <w:numId w:val="1030"/>
        </w:numPr>
        <w:pStyle w:val="Compact"/>
      </w:pPr>
      <w:r>
        <w:rPr>
          <w:b/>
        </w:rPr>
        <w:t xml:space="preserve">材料后补造假</w:t>
      </w:r>
      <w:r>
        <w:t xml:space="preserve">：评审会先开、报告与会议记录后补，甚至输入报告开会当天才赶出来，记录时间逻辑矛盾被外审识破；应严格执行</w:t>
      </w:r>
      <w:r>
        <w:t xml:space="preserve">“</w:t>
      </w:r>
      <w:r>
        <w:t xml:space="preserve">输入先交、会议后开、报告按期出</w:t>
      </w:r>
      <w:r>
        <w:t xml:space="preserve">”</w:t>
      </w:r>
      <w:r>
        <w:t xml:space="preserve">的顺序。</w:t>
      </w:r>
    </w:p>
    <w:p>
      <w:pPr>
        <w:numPr>
          <w:ilvl w:val="0"/>
          <w:numId w:val="1030"/>
        </w:numPr>
        <w:pStyle w:val="Compact"/>
      </w:pPr>
      <w:r>
        <w:rPr>
          <w:b/>
        </w:rPr>
        <w:t xml:space="preserve">与内审混淆</w:t>
      </w:r>
      <w:r>
        <w:t xml:space="preserve">：把内审不符合项清单当管理评审报告，或用内审代替管理评审——内审查</w:t>
      </w:r>
      <w:r>
        <w:t xml:space="preserve">“</w:t>
      </w:r>
      <w:r>
        <w:t xml:space="preserve">符合性</w:t>
      </w:r>
      <w:r>
        <w:t xml:space="preserve">”</w:t>
      </w:r>
      <w:r>
        <w:t xml:space="preserve">，管理评审评</w:t>
      </w:r>
      <w:r>
        <w:t xml:space="preserve">“</w:t>
      </w:r>
      <w:r>
        <w:t xml:space="preserve">三性并作决策</w:t>
      </w:r>
      <w:r>
        <w:t xml:space="preserve">”</w:t>
      </w:r>
      <w:r>
        <w:t xml:space="preserve">，两者互为输入、不可替代。</w:t>
      </w:r>
    </w:p>
    <w:p>
      <w:r>
        <w:pict>
          <v:rect style="width:0;height:1.5pt" o:hralign="center" o:hrstd="t" o:hr="t"/>
        </w:pict>
      </w:r>
    </w:p>
    <w:p>
      <w:pPr>
        <w:pStyle w:val="BlockText"/>
      </w:pPr>
      <w:r>
        <w:t xml:space="preserve">管理评审开到位，体系方向不跑偏</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721">
    <w:nsid w:val="47261bad"/>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722">
    <w:nsid w:val="b3cbbdee"/>
    <w:multiLevelType w:val="multilevel"/>
    <w:lvl w:ilvl="0">
      <w:start w:val="2"/>
      <w:numFmt w:val="lowerLetter"/>
      <w:lvlText w:val="%1)"/>
      <w:lvlJc w:val="left"/>
      <w:pPr>
        <w:tabs>
          <w:tab w:val="num" w:pos="0"/>
        </w:tabs>
        <w:ind w:left="480" w:hanging="480"/>
      </w:pPr>
    </w:lvl>
    <w:lvl w:ilvl="1">
      <w:start w:val="2"/>
      <w:numFmt w:val="lowerLetter"/>
      <w:lvlText w:val="%2)"/>
      <w:lvlJc w:val="left"/>
      <w:pPr>
        <w:tabs>
          <w:tab w:val="num" w:pos="720"/>
        </w:tabs>
        <w:ind w:left="1200" w:hanging="480"/>
      </w:pPr>
    </w:lvl>
    <w:lvl w:ilvl="2">
      <w:start w:val="2"/>
      <w:numFmt w:val="lowerLetter"/>
      <w:lvlText w:val="%3)"/>
      <w:lvlJc w:val="left"/>
      <w:pPr>
        <w:tabs>
          <w:tab w:val="num" w:pos="1440"/>
        </w:tabs>
        <w:ind w:left="1920" w:hanging="480"/>
      </w:pPr>
    </w:lvl>
    <w:lvl w:ilvl="3">
      <w:start w:val="2"/>
      <w:numFmt w:val="lowerLetter"/>
      <w:lvlText w:val="%4)"/>
      <w:lvlJc w:val="left"/>
      <w:pPr>
        <w:tabs>
          <w:tab w:val="num" w:pos="2160"/>
        </w:tabs>
        <w:ind w:left="2640" w:hanging="480"/>
      </w:pPr>
    </w:lvl>
    <w:lvl w:ilvl="4">
      <w:start w:val="2"/>
      <w:numFmt w:val="lowerLetter"/>
      <w:lvlText w:val="%5)"/>
      <w:lvlJc w:val="left"/>
      <w:pPr>
        <w:tabs>
          <w:tab w:val="num" w:pos="2880"/>
        </w:tabs>
        <w:ind w:left="3360" w:hanging="480"/>
      </w:pPr>
    </w:lvl>
    <w:lvl w:ilvl="5">
      <w:start w:val="2"/>
      <w:numFmt w:val="lowerLetter"/>
      <w:lvlText w:val="%6)"/>
      <w:lvlJc w:val="left"/>
      <w:pPr>
        <w:tabs>
          <w:tab w:val="num" w:pos="3600"/>
        </w:tabs>
        <w:ind w:left="4080" w:hanging="480"/>
      </w:pPr>
    </w:lvl>
    <w:lvl w:ilvl="6">
      <w:start w:val="2"/>
      <w:numFmt w:val="lowerLetter"/>
      <w:lvlText w:val="%7)"/>
      <w:lvlJc w:val="left"/>
      <w:pPr>
        <w:tabs>
          <w:tab w:val="num" w:pos="4320"/>
        </w:tabs>
        <w:ind w:left="4800" w:hanging="480"/>
      </w:pPr>
    </w:lvl>
    <w:lvl w:ilvl="7">
      <w:start w:val="2"/>
      <w:numFmt w:val="lowerLetter"/>
      <w:lvlText w:val="%8)"/>
      <w:lvlJc w:val="left"/>
      <w:pPr>
        <w:tabs>
          <w:tab w:val="num" w:pos="5040"/>
        </w:tabs>
        <w:ind w:left="5520" w:hanging="480"/>
      </w:pPr>
    </w:lvl>
    <w:lvl w:ilvl="8">
      <w:start w:val="2"/>
      <w:numFmt w:val="lowerLetter"/>
      <w:lvlText w:val="%9)"/>
      <w:lvlJc w:val="left"/>
      <w:pPr>
        <w:tabs>
          <w:tab w:val="num" w:pos="5760"/>
        </w:tabs>
        <w:ind w:left="6240" w:hanging="480"/>
      </w:pPr>
    </w:lvl>
  </w:abstractNum>
  <w:abstractNum w:abstractNumId="99723">
    <w:nsid w:val="4fbe019a"/>
    <w:multiLevelType w:val="multilevel"/>
    <w:lvl w:ilvl="0">
      <w:start w:val="3"/>
      <w:numFmt w:val="lowerLetter"/>
      <w:lvlText w:val="%1)"/>
      <w:lvlJc w:val="left"/>
      <w:pPr>
        <w:tabs>
          <w:tab w:val="num" w:pos="0"/>
        </w:tabs>
        <w:ind w:left="480" w:hanging="480"/>
      </w:pPr>
    </w:lvl>
    <w:lvl w:ilvl="1">
      <w:start w:val="3"/>
      <w:numFmt w:val="lowerLetter"/>
      <w:lvlText w:val="%2)"/>
      <w:lvlJc w:val="left"/>
      <w:pPr>
        <w:tabs>
          <w:tab w:val="num" w:pos="720"/>
        </w:tabs>
        <w:ind w:left="1200" w:hanging="480"/>
      </w:pPr>
    </w:lvl>
    <w:lvl w:ilvl="2">
      <w:start w:val="3"/>
      <w:numFmt w:val="lowerLetter"/>
      <w:lvlText w:val="%3)"/>
      <w:lvlJc w:val="left"/>
      <w:pPr>
        <w:tabs>
          <w:tab w:val="num" w:pos="1440"/>
        </w:tabs>
        <w:ind w:left="1920" w:hanging="480"/>
      </w:pPr>
    </w:lvl>
    <w:lvl w:ilvl="3">
      <w:start w:val="3"/>
      <w:numFmt w:val="lowerLetter"/>
      <w:lvlText w:val="%4)"/>
      <w:lvlJc w:val="left"/>
      <w:pPr>
        <w:tabs>
          <w:tab w:val="num" w:pos="2160"/>
        </w:tabs>
        <w:ind w:left="2640" w:hanging="480"/>
      </w:pPr>
    </w:lvl>
    <w:lvl w:ilvl="4">
      <w:start w:val="3"/>
      <w:numFmt w:val="lowerLetter"/>
      <w:lvlText w:val="%5)"/>
      <w:lvlJc w:val="left"/>
      <w:pPr>
        <w:tabs>
          <w:tab w:val="num" w:pos="2880"/>
        </w:tabs>
        <w:ind w:left="3360" w:hanging="480"/>
      </w:pPr>
    </w:lvl>
    <w:lvl w:ilvl="5">
      <w:start w:val="3"/>
      <w:numFmt w:val="lowerLetter"/>
      <w:lvlText w:val="%6)"/>
      <w:lvlJc w:val="left"/>
      <w:pPr>
        <w:tabs>
          <w:tab w:val="num" w:pos="3600"/>
        </w:tabs>
        <w:ind w:left="4080" w:hanging="480"/>
      </w:pPr>
    </w:lvl>
    <w:lvl w:ilvl="6">
      <w:start w:val="3"/>
      <w:numFmt w:val="lowerLetter"/>
      <w:lvlText w:val="%7)"/>
      <w:lvlJc w:val="left"/>
      <w:pPr>
        <w:tabs>
          <w:tab w:val="num" w:pos="4320"/>
        </w:tabs>
        <w:ind w:left="4800" w:hanging="480"/>
      </w:pPr>
    </w:lvl>
    <w:lvl w:ilvl="7">
      <w:start w:val="3"/>
      <w:numFmt w:val="lowerLetter"/>
      <w:lvlText w:val="%8)"/>
      <w:lvlJc w:val="left"/>
      <w:pPr>
        <w:tabs>
          <w:tab w:val="num" w:pos="5040"/>
        </w:tabs>
        <w:ind w:left="5520" w:hanging="480"/>
      </w:pPr>
    </w:lvl>
    <w:lvl w:ilvl="8">
      <w:start w:val="3"/>
      <w:numFmt w:val="lowerLetter"/>
      <w:lvlText w:val="%9)"/>
      <w:lvlJc w:val="left"/>
      <w:pPr>
        <w:tabs>
          <w:tab w:val="num" w:pos="5760"/>
        </w:tabs>
        <w:ind w:left="6240" w:hanging="480"/>
      </w:pPr>
    </w:lvl>
  </w:abstractNum>
  <w:abstractNum w:abstractNumId="99724">
    <w:nsid w:val="91a27d85"/>
    <w:multiLevelType w:val="multilevel"/>
    <w:lvl w:ilvl="0">
      <w:start w:val="4"/>
      <w:numFmt w:val="lowerLetter"/>
      <w:lvlText w:val="%1)"/>
      <w:lvlJc w:val="left"/>
      <w:pPr>
        <w:tabs>
          <w:tab w:val="num" w:pos="0"/>
        </w:tabs>
        <w:ind w:left="480" w:hanging="480"/>
      </w:pPr>
    </w:lvl>
    <w:lvl w:ilvl="1">
      <w:start w:val="4"/>
      <w:numFmt w:val="lowerLetter"/>
      <w:lvlText w:val="%2)"/>
      <w:lvlJc w:val="left"/>
      <w:pPr>
        <w:tabs>
          <w:tab w:val="num" w:pos="720"/>
        </w:tabs>
        <w:ind w:left="1200" w:hanging="480"/>
      </w:pPr>
    </w:lvl>
    <w:lvl w:ilvl="2">
      <w:start w:val="4"/>
      <w:numFmt w:val="lowerLetter"/>
      <w:lvlText w:val="%3)"/>
      <w:lvlJc w:val="left"/>
      <w:pPr>
        <w:tabs>
          <w:tab w:val="num" w:pos="1440"/>
        </w:tabs>
        <w:ind w:left="1920" w:hanging="480"/>
      </w:pPr>
    </w:lvl>
    <w:lvl w:ilvl="3">
      <w:start w:val="4"/>
      <w:numFmt w:val="lowerLetter"/>
      <w:lvlText w:val="%4)"/>
      <w:lvlJc w:val="left"/>
      <w:pPr>
        <w:tabs>
          <w:tab w:val="num" w:pos="2160"/>
        </w:tabs>
        <w:ind w:left="2640" w:hanging="480"/>
      </w:pPr>
    </w:lvl>
    <w:lvl w:ilvl="4">
      <w:start w:val="4"/>
      <w:numFmt w:val="lowerLetter"/>
      <w:lvlText w:val="%5)"/>
      <w:lvlJc w:val="left"/>
      <w:pPr>
        <w:tabs>
          <w:tab w:val="num" w:pos="2880"/>
        </w:tabs>
        <w:ind w:left="3360" w:hanging="480"/>
      </w:pPr>
    </w:lvl>
    <w:lvl w:ilvl="5">
      <w:start w:val="4"/>
      <w:numFmt w:val="lowerLetter"/>
      <w:lvlText w:val="%6)"/>
      <w:lvlJc w:val="left"/>
      <w:pPr>
        <w:tabs>
          <w:tab w:val="num" w:pos="3600"/>
        </w:tabs>
        <w:ind w:left="4080" w:hanging="480"/>
      </w:pPr>
    </w:lvl>
    <w:lvl w:ilvl="6">
      <w:start w:val="4"/>
      <w:numFmt w:val="lowerLetter"/>
      <w:lvlText w:val="%7)"/>
      <w:lvlJc w:val="left"/>
      <w:pPr>
        <w:tabs>
          <w:tab w:val="num" w:pos="4320"/>
        </w:tabs>
        <w:ind w:left="4800" w:hanging="480"/>
      </w:pPr>
    </w:lvl>
    <w:lvl w:ilvl="7">
      <w:start w:val="4"/>
      <w:numFmt w:val="lowerLetter"/>
      <w:lvlText w:val="%8)"/>
      <w:lvlJc w:val="left"/>
      <w:pPr>
        <w:tabs>
          <w:tab w:val="num" w:pos="5040"/>
        </w:tabs>
        <w:ind w:left="5520" w:hanging="480"/>
      </w:pPr>
    </w:lvl>
    <w:lvl w:ilvl="8">
      <w:start w:val="4"/>
      <w:numFmt w:val="lowerLetter"/>
      <w:lvlText w:val="%9)"/>
      <w:lvlJc w:val="left"/>
      <w:pPr>
        <w:tabs>
          <w:tab w:val="num" w:pos="5760"/>
        </w:tabs>
        <w:ind w:left="6240" w:hanging="480"/>
      </w:pPr>
    </w:lvl>
  </w:abstractNum>
  <w:abstractNum w:abstractNumId="99725">
    <w:nsid w:val="615f1ed2"/>
    <w:multiLevelType w:val="multilevel"/>
    <w:lvl w:ilvl="0">
      <w:start w:val="5"/>
      <w:numFmt w:val="lowerLetter"/>
      <w:lvlText w:val="%1)"/>
      <w:lvlJc w:val="left"/>
      <w:pPr>
        <w:tabs>
          <w:tab w:val="num" w:pos="0"/>
        </w:tabs>
        <w:ind w:left="480" w:hanging="480"/>
      </w:pPr>
    </w:lvl>
    <w:lvl w:ilvl="1">
      <w:start w:val="5"/>
      <w:numFmt w:val="lowerLetter"/>
      <w:lvlText w:val="%2)"/>
      <w:lvlJc w:val="left"/>
      <w:pPr>
        <w:tabs>
          <w:tab w:val="num" w:pos="720"/>
        </w:tabs>
        <w:ind w:left="1200" w:hanging="480"/>
      </w:pPr>
    </w:lvl>
    <w:lvl w:ilvl="2">
      <w:start w:val="5"/>
      <w:numFmt w:val="lowerLetter"/>
      <w:lvlText w:val="%3)"/>
      <w:lvlJc w:val="left"/>
      <w:pPr>
        <w:tabs>
          <w:tab w:val="num" w:pos="1440"/>
        </w:tabs>
        <w:ind w:left="1920" w:hanging="480"/>
      </w:pPr>
    </w:lvl>
    <w:lvl w:ilvl="3">
      <w:start w:val="5"/>
      <w:numFmt w:val="lowerLetter"/>
      <w:lvlText w:val="%4)"/>
      <w:lvlJc w:val="left"/>
      <w:pPr>
        <w:tabs>
          <w:tab w:val="num" w:pos="2160"/>
        </w:tabs>
        <w:ind w:left="2640" w:hanging="480"/>
      </w:pPr>
    </w:lvl>
    <w:lvl w:ilvl="4">
      <w:start w:val="5"/>
      <w:numFmt w:val="lowerLetter"/>
      <w:lvlText w:val="%5)"/>
      <w:lvlJc w:val="left"/>
      <w:pPr>
        <w:tabs>
          <w:tab w:val="num" w:pos="2880"/>
        </w:tabs>
        <w:ind w:left="3360" w:hanging="480"/>
      </w:pPr>
    </w:lvl>
    <w:lvl w:ilvl="5">
      <w:start w:val="5"/>
      <w:numFmt w:val="lowerLetter"/>
      <w:lvlText w:val="%6)"/>
      <w:lvlJc w:val="left"/>
      <w:pPr>
        <w:tabs>
          <w:tab w:val="num" w:pos="3600"/>
        </w:tabs>
        <w:ind w:left="4080" w:hanging="480"/>
      </w:pPr>
    </w:lvl>
    <w:lvl w:ilvl="6">
      <w:start w:val="5"/>
      <w:numFmt w:val="lowerLetter"/>
      <w:lvlText w:val="%7)"/>
      <w:lvlJc w:val="left"/>
      <w:pPr>
        <w:tabs>
          <w:tab w:val="num" w:pos="4320"/>
        </w:tabs>
        <w:ind w:left="4800" w:hanging="480"/>
      </w:pPr>
    </w:lvl>
    <w:lvl w:ilvl="7">
      <w:start w:val="5"/>
      <w:numFmt w:val="lowerLetter"/>
      <w:lvlText w:val="%8)"/>
      <w:lvlJc w:val="left"/>
      <w:pPr>
        <w:tabs>
          <w:tab w:val="num" w:pos="5040"/>
        </w:tabs>
        <w:ind w:left="5520" w:hanging="480"/>
      </w:pPr>
    </w:lvl>
    <w:lvl w:ilvl="8">
      <w:start w:val="5"/>
      <w:numFmt w:val="lowerLetter"/>
      <w:lvlText w:val="%9)"/>
      <w:lvlJc w:val="left"/>
      <w:pPr>
        <w:tabs>
          <w:tab w:val="num" w:pos="5760"/>
        </w:tabs>
        <w:ind w:left="6240" w:hanging="480"/>
      </w:pPr>
    </w:lvl>
  </w:abstractNum>
  <w:abstractNum w:abstractNumId="99726">
    <w:nsid w:val="238d8174"/>
    <w:multiLevelType w:val="multilevel"/>
    <w:lvl w:ilvl="0">
      <w:start w:val="6"/>
      <w:numFmt w:val="lowerLetter"/>
      <w:lvlText w:val="%1)"/>
      <w:lvlJc w:val="left"/>
      <w:pPr>
        <w:tabs>
          <w:tab w:val="num" w:pos="0"/>
        </w:tabs>
        <w:ind w:left="480" w:hanging="480"/>
      </w:pPr>
    </w:lvl>
    <w:lvl w:ilvl="1">
      <w:start w:val="6"/>
      <w:numFmt w:val="lowerLetter"/>
      <w:lvlText w:val="%2)"/>
      <w:lvlJc w:val="left"/>
      <w:pPr>
        <w:tabs>
          <w:tab w:val="num" w:pos="720"/>
        </w:tabs>
        <w:ind w:left="1200" w:hanging="480"/>
      </w:pPr>
    </w:lvl>
    <w:lvl w:ilvl="2">
      <w:start w:val="6"/>
      <w:numFmt w:val="lowerLetter"/>
      <w:lvlText w:val="%3)"/>
      <w:lvlJc w:val="left"/>
      <w:pPr>
        <w:tabs>
          <w:tab w:val="num" w:pos="1440"/>
        </w:tabs>
        <w:ind w:left="1920" w:hanging="480"/>
      </w:pPr>
    </w:lvl>
    <w:lvl w:ilvl="3">
      <w:start w:val="6"/>
      <w:numFmt w:val="lowerLetter"/>
      <w:lvlText w:val="%4)"/>
      <w:lvlJc w:val="left"/>
      <w:pPr>
        <w:tabs>
          <w:tab w:val="num" w:pos="2160"/>
        </w:tabs>
        <w:ind w:left="2640" w:hanging="480"/>
      </w:pPr>
    </w:lvl>
    <w:lvl w:ilvl="4">
      <w:start w:val="6"/>
      <w:numFmt w:val="lowerLetter"/>
      <w:lvlText w:val="%5)"/>
      <w:lvlJc w:val="left"/>
      <w:pPr>
        <w:tabs>
          <w:tab w:val="num" w:pos="2880"/>
        </w:tabs>
        <w:ind w:left="3360" w:hanging="480"/>
      </w:pPr>
    </w:lvl>
    <w:lvl w:ilvl="5">
      <w:start w:val="6"/>
      <w:numFmt w:val="lowerLetter"/>
      <w:lvlText w:val="%6)"/>
      <w:lvlJc w:val="left"/>
      <w:pPr>
        <w:tabs>
          <w:tab w:val="num" w:pos="3600"/>
        </w:tabs>
        <w:ind w:left="4080" w:hanging="480"/>
      </w:pPr>
    </w:lvl>
    <w:lvl w:ilvl="6">
      <w:start w:val="6"/>
      <w:numFmt w:val="lowerLetter"/>
      <w:lvlText w:val="%7)"/>
      <w:lvlJc w:val="left"/>
      <w:pPr>
        <w:tabs>
          <w:tab w:val="num" w:pos="4320"/>
        </w:tabs>
        <w:ind w:left="4800" w:hanging="480"/>
      </w:pPr>
    </w:lvl>
    <w:lvl w:ilvl="7">
      <w:start w:val="6"/>
      <w:numFmt w:val="lowerLetter"/>
      <w:lvlText w:val="%8)"/>
      <w:lvlJc w:val="left"/>
      <w:pPr>
        <w:tabs>
          <w:tab w:val="num" w:pos="5040"/>
        </w:tabs>
        <w:ind w:left="5520" w:hanging="480"/>
      </w:pPr>
    </w:lvl>
    <w:lvl w:ilvl="8">
      <w:start w:val="6"/>
      <w:numFmt w:val="lowerLetter"/>
      <w:lvlText w:val="%9)"/>
      <w:lvlJc w:val="left"/>
      <w:pPr>
        <w:tabs>
          <w:tab w:val="num" w:pos="5760"/>
        </w:tabs>
        <w:ind w:left="6240" w:hanging="480"/>
      </w:pPr>
    </w:lvl>
  </w:abstractNum>
  <w:abstractNum w:abstractNumId="99727">
    <w:nsid w:val="41f388d6"/>
    <w:multiLevelType w:val="multilevel"/>
    <w:lvl w:ilvl="0">
      <w:start w:val="7"/>
      <w:numFmt w:val="lowerLetter"/>
      <w:lvlText w:val="%1)"/>
      <w:lvlJc w:val="left"/>
      <w:pPr>
        <w:tabs>
          <w:tab w:val="num" w:pos="0"/>
        </w:tabs>
        <w:ind w:left="480" w:hanging="480"/>
      </w:pPr>
    </w:lvl>
    <w:lvl w:ilvl="1">
      <w:start w:val="7"/>
      <w:numFmt w:val="lowerLetter"/>
      <w:lvlText w:val="%2)"/>
      <w:lvlJc w:val="left"/>
      <w:pPr>
        <w:tabs>
          <w:tab w:val="num" w:pos="720"/>
        </w:tabs>
        <w:ind w:left="1200" w:hanging="480"/>
      </w:pPr>
    </w:lvl>
    <w:lvl w:ilvl="2">
      <w:start w:val="7"/>
      <w:numFmt w:val="lowerLetter"/>
      <w:lvlText w:val="%3)"/>
      <w:lvlJc w:val="left"/>
      <w:pPr>
        <w:tabs>
          <w:tab w:val="num" w:pos="1440"/>
        </w:tabs>
        <w:ind w:left="1920" w:hanging="480"/>
      </w:pPr>
    </w:lvl>
    <w:lvl w:ilvl="3">
      <w:start w:val="7"/>
      <w:numFmt w:val="lowerLetter"/>
      <w:lvlText w:val="%4)"/>
      <w:lvlJc w:val="left"/>
      <w:pPr>
        <w:tabs>
          <w:tab w:val="num" w:pos="2160"/>
        </w:tabs>
        <w:ind w:left="2640" w:hanging="480"/>
      </w:pPr>
    </w:lvl>
    <w:lvl w:ilvl="4">
      <w:start w:val="7"/>
      <w:numFmt w:val="lowerLetter"/>
      <w:lvlText w:val="%5)"/>
      <w:lvlJc w:val="left"/>
      <w:pPr>
        <w:tabs>
          <w:tab w:val="num" w:pos="2880"/>
        </w:tabs>
        <w:ind w:left="3360" w:hanging="480"/>
      </w:pPr>
    </w:lvl>
    <w:lvl w:ilvl="5">
      <w:start w:val="7"/>
      <w:numFmt w:val="lowerLetter"/>
      <w:lvlText w:val="%6)"/>
      <w:lvlJc w:val="left"/>
      <w:pPr>
        <w:tabs>
          <w:tab w:val="num" w:pos="3600"/>
        </w:tabs>
        <w:ind w:left="4080" w:hanging="480"/>
      </w:pPr>
    </w:lvl>
    <w:lvl w:ilvl="6">
      <w:start w:val="7"/>
      <w:numFmt w:val="lowerLetter"/>
      <w:lvlText w:val="%7)"/>
      <w:lvlJc w:val="left"/>
      <w:pPr>
        <w:tabs>
          <w:tab w:val="num" w:pos="4320"/>
        </w:tabs>
        <w:ind w:left="4800" w:hanging="480"/>
      </w:pPr>
    </w:lvl>
    <w:lvl w:ilvl="7">
      <w:start w:val="7"/>
      <w:numFmt w:val="lowerLetter"/>
      <w:lvlText w:val="%8)"/>
      <w:lvlJc w:val="left"/>
      <w:pPr>
        <w:tabs>
          <w:tab w:val="num" w:pos="5040"/>
        </w:tabs>
        <w:ind w:left="5520" w:hanging="480"/>
      </w:pPr>
    </w:lvl>
    <w:lvl w:ilvl="8">
      <w:start w:val="7"/>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7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72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1">
    <w:abstractNumId w:val="9972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8">
    <w:abstractNumId w:val="997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9">
    <w:abstractNumId w:val="9972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2026-09-12T10:35:35Z</dcterms:created>
  <dcterms:modified xsi:type="dcterms:W3CDTF">2026-09-12T10:35:35Z</dcterms:modified>
</cp:coreProperties>
</file>

<file path=docProps/custom.xml><?xml version="1.0" encoding="utf-8"?>
<Properties xmlns="http://schemas.openxmlformats.org/officeDocument/2006/custom-properties" xmlns:vt="http://schemas.openxmlformats.org/officeDocument/2006/docPropsVTypes"/>
</file>