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27不合格与纠正措施程序10.2"/>
      <w:r>
        <w:t xml:space="preserve">ISO9001体系文件套包（27）｜不合格与纠正措施程序（10.2）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：本程序对应 ISO 9001:2015 标准条款 10.2</w:t>
      </w:r>
      <w:r>
        <w:t xml:space="preserve">“</w:t>
      </w:r>
      <w:r>
        <w:t xml:space="preserve">不合格和纠正措施</w:t>
      </w:r>
      <w:r>
        <w:t xml:space="preserve">”</w:t>
      </w:r>
      <w:r>
        <w:t xml:space="preserve">，是质量管理体系</w:t>
      </w:r>
      <w:r>
        <w:t xml:space="preserve">“</w:t>
      </w:r>
      <w:r>
        <w:t xml:space="preserve">问题管理</w:t>
      </w:r>
      <w:r>
        <w:t xml:space="preserve">”</w:t>
      </w:r>
      <w:r>
        <w:t xml:space="preserve">的收口程序，也是 PDCA 循环中</w:t>
      </w:r>
      <w:r>
        <w:t xml:space="preserve">“</w:t>
      </w:r>
      <w:r>
        <w:t xml:space="preserve">A（改进）</w:t>
      </w:r>
      <w:r>
        <w:t xml:space="preserve">”</w:t>
      </w:r>
      <w:r>
        <w:t xml:space="preserve">阶段的启动引擎。它与《不合格品控制程序》（8.7）的分工常被混淆：8.7 解决</w:t>
      </w:r>
      <w:r>
        <w:t xml:space="preserve">“</w:t>
      </w:r>
      <w:r>
        <w:t xml:space="preserve">这批不合格品如何标识、隔离与处置</w:t>
      </w:r>
      <w:r>
        <w:t xml:space="preserve">”</w:t>
      </w:r>
      <w:r>
        <w:t xml:space="preserve">，本程序回答</w:t>
      </w:r>
      <w:r>
        <w:t xml:space="preserve">“</w:t>
      </w:r>
      <w:r>
        <w:t xml:space="preserve">为什么会不合格、如何消除根本原因、防止再发生</w:t>
      </w:r>
      <w:r>
        <w:t xml:space="preserve">”</w:t>
      </w:r>
      <w:r>
        <w:t xml:space="preserve">。顾客投诉、审核不符合、过程异常、供方不良等各类不合格信息最终都要汇聚到本程序形成管理闭环，其运行质量直接决定外审不符合项的数量与企业重复性问题的比例。本程序适用于各类制造与服务企业，尤其适合质量问题</w:t>
      </w:r>
      <w:r>
        <w:t xml:space="preserve">“</w:t>
      </w:r>
      <w:r>
        <w:t xml:space="preserve">屡改屡犯</w:t>
      </w:r>
      <w:r>
        <w:t xml:space="preserve">”</w:t>
      </w:r>
      <w:r>
        <w:t xml:space="preserve">、纠正措施流于形式的企业，可直接套用并按组织规模裁剪。</w:t>
      </w:r>
    </w:p>
    <w:p>
      <w:pPr>
        <w:pStyle w:val="BlockText"/>
      </w:pPr>
      <w:r>
        <w:t xml:space="preserve">注：本程序为模板范本，文中</w:t>
      </w:r>
      <w:r>
        <w:t xml:space="preserve">“</w:t>
      </w:r>
      <w:r>
        <w:t xml:space="preserve">本公司</w:t>
      </w:r>
      <w:r>
        <w:t xml:space="preserve">”</w:t>
      </w:r>
      <w:r>
        <w:t xml:space="preserve">“</w:t>
      </w:r>
      <w:r>
        <w:t xml:space="preserve">归口管理部门</w:t>
      </w:r>
      <w:r>
        <w:t xml:space="preserve">”</w:t>
      </w:r>
      <w:r>
        <w:t xml:space="preserve">等表述请按企业实际替换为对应部门名称。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规范本公司不合格信息的收集、登记、响应与处置，确保已发生的不合格得到及时控制和纠正；系统评审分析不合格，对需要采取措施的不合格确定根本原因并实施纠正措施，消除原因、防止再次发生或在其他场合发生；对措施有效性进行验证，必要时更新风险和机遇、变更质量管理体系，推动持续改进。</w:t>
      </w:r>
    </w:p>
    <w:p>
      <w:pPr>
        <w:pStyle w:val="BodyText"/>
      </w:pPr>
      <w:r>
        <w:t xml:space="preserve">本程序引用 ISO 9000:2015 的术语定义如下：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不合格</w:t>
      </w:r>
      <w:r>
        <w:t xml:space="preserve">：未满足要求（含产品要求、过程要求、体系要求、顾客要求与适用法规要求）；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纠正</w:t>
      </w:r>
      <w:r>
        <w:t xml:space="preserve">：为消除已发现的不合格所采取的行动，如返工、返修、降级、报废、退货、换货、致歉等；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纠正措施</w:t>
      </w:r>
      <w:r>
        <w:t xml:space="preserve">：为消除不合格的原因并防止再次发生所采取的措施，针对的是</w:t>
      </w:r>
      <w:r>
        <w:t xml:space="preserve">“</w:t>
      </w:r>
      <w:r>
        <w:t xml:space="preserve">原因</w:t>
      </w:r>
      <w:r>
        <w:t xml:space="preserve">”</w:t>
      </w:r>
      <w:r>
        <w:t xml:space="preserve">而非</w:t>
      </w:r>
      <w:r>
        <w:t xml:space="preserve">“</w:t>
      </w:r>
      <w:r>
        <w:t xml:space="preserve">现象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潜在不合格</w:t>
      </w:r>
      <w:r>
        <w:t xml:space="preserve">：尚未发生但通过数据分析、风险评价可预见的不合格，其系统预防按《风险与机遇管理程序》执行，本程序侧重已发生不合格的闭环处理。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适用于本公司生产经营活动中发现的所有不合格及其后续处理，覆盖但不限于：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产品不合格</w:t>
      </w:r>
      <w:r>
        <w:t xml:space="preserve">：进货检验、过程检验、成品检验发现的不合格，顾客退货、产品在顾客现场使用失效或召回；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过程不合格</w:t>
      </w:r>
      <w:r>
        <w:t xml:space="preserve">：生产过程中的异常波动、工艺参数失控、设备故障引发的批量质量问题、交付延误等未满足要求的情形；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体系不合格</w:t>
      </w:r>
      <w:r>
        <w:t xml:space="preserve">：内部审核、第二方审核、第三方认证审核开出的不符合项；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顾客及相关方不满意</w:t>
      </w:r>
      <w:r>
        <w:t xml:space="preserve">：顾客投诉、索赔、服务差评、监管通报、相关方反馈的质量问题；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供方不合格</w:t>
      </w:r>
      <w:r>
        <w:t xml:space="preserve">：外部供方提供的产品、服务或过程不合格。</w:t>
      </w:r>
    </w:p>
    <w:p>
      <w:pPr>
        <w:pStyle w:val="FirstParagraph"/>
      </w:pPr>
      <w:r>
        <w:t xml:space="preserve">本程序与《不合格品控制程序》（8.7）的边界划分：不合格品的标识、隔离、评审与处置执行 8.7 程序；凡需要消除原因、防止再发生的，按本程序启动纠正措施流程。对一次性、已按 8.7 处置完毕且残余风险极低的不合格，可不启动纠正措施，但必须在台账中记录并说明理由。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责任部门/岗位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职责内容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  <w:tc>
          <w:p>
            <w:pPr>
              <w:pStyle w:val="Compact"/>
              <w:jc w:val="left"/>
            </w:pPr>
            <w:r>
              <w:t xml:space="preserve">批准重大不合格的纠正措施方案与资源配置；对涉及跨部门或重大投入的措施进行裁决；主持或参加重大质量事故的评审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审核纠正措施需求评价结论与《纠正措施处理单》的关闭；对</w:t>
            </w:r>
            <w:r>
              <w:t xml:space="preserve">“</w:t>
            </w:r>
            <w:r>
              <w:t xml:space="preserve">不采取纠正措施</w:t>
            </w:r>
            <w:r>
              <w:t xml:space="preserve">”</w:t>
            </w:r>
            <w:r>
              <w:t xml:space="preserve">的判定进行批准；督办重大纠正措施的落实与验证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归口管理部门（品质部）</w:t>
            </w:r>
          </w:p>
        </w:tc>
        <w:tc>
          <w:p>
            <w:pPr>
              <w:pStyle w:val="Compact"/>
              <w:jc w:val="left"/>
            </w:pPr>
            <w:r>
              <w:t xml:space="preserve">归口管理不合格信息台账；组织不合格评审与原因分析；发放、跟踪、验证《纠正措施处理单》；按月统计分析闭环情况并纳入管理评审输入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责任部门（发生不合格的部门）</w:t>
            </w:r>
          </w:p>
        </w:tc>
        <w:tc>
          <w:p>
            <w:pPr>
              <w:pStyle w:val="Compact"/>
              <w:jc w:val="left"/>
            </w:pPr>
            <w:r>
              <w:t xml:space="preserve">立即实施纠正（围堵）；参与原因分析；制定并实施纠正措施；按期反馈完成证据；配合有效性验证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检验/技术部门</w:t>
            </w:r>
          </w:p>
        </w:tc>
        <w:tc>
          <w:p>
            <w:pPr>
              <w:pStyle w:val="Compact"/>
              <w:jc w:val="left"/>
            </w:pPr>
            <w:r>
              <w:t xml:space="preserve">提供检测数据与失效分析支持；参与原因分析；对涉及工艺、设计、标准的措施提供技术方案；必要时更新检验标准与作业文件</w:t>
            </w:r>
          </w:p>
        </w:tc>
      </w:tr>
    </w:tbl>
    <w:p>
      <w:pPr>
        <w:pStyle w:val="BodyText"/>
      </w:pPr>
      <w:r>
        <w:t xml:space="preserve">归口管理部门对本程序涉及的纠正措施拥有跟踪督办权，任何部门不得拒绝、拖延或敷衍；措施验证不通过的，责任部门必须重新分析、重新制定措施，直至验证合格。</w:t>
      </w:r>
    </w:p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不合格信息的收集与登记"/>
      <w:r>
        <w:t xml:space="preserve">4.1 不合格信息的收集与登记</w:t>
      </w:r>
      <w:bookmarkEnd w:id="25"/>
    </w:p>
    <w:p>
      <w:pPr>
        <w:numPr>
          <w:ilvl w:val="0"/>
          <w:numId w:val="1003"/>
        </w:numPr>
        <w:pStyle w:val="Compact"/>
      </w:pPr>
      <w:r>
        <w:t xml:space="preserve">各部门发现不合格后，属于产品不合格的，先按《不合格品控制程序》（8.7）执行标识、隔离与评审处置；同时将信息于</w:t>
      </w:r>
      <w:r>
        <w:t xml:space="preserve"> </w:t>
      </w:r>
      <w:r>
        <w:rPr>
          <w:b/>
        </w:rPr>
        <w:t xml:space="preserve">1 个工作日内</w:t>
      </w:r>
      <w:r>
        <w:t xml:space="preserve"> </w:t>
      </w:r>
      <w:r>
        <w:t xml:space="preserve">传递至归口管理部门。</w:t>
      </w:r>
    </w:p>
    <w:p>
      <w:pPr>
        <w:numPr>
          <w:ilvl w:val="0"/>
          <w:numId w:val="1003"/>
        </w:numPr>
        <w:pStyle w:val="Compact"/>
      </w:pPr>
      <w:r>
        <w:t xml:space="preserve">归口管理部门统一登记于《不合格信息登记台账》，编号规则为</w:t>
      </w:r>
      <w:r>
        <w:t xml:space="preserve">“</w:t>
      </w:r>
      <w:r>
        <w:t xml:space="preserve">NF-年份-顺序号</w:t>
      </w:r>
      <w:r>
        <w:t xml:space="preserve">”</w:t>
      </w:r>
      <w:r>
        <w:t xml:space="preserve">（如 NF-2026-015），登记内容含：发现日期、来源（检验/顾客/审核/供方等）、不合格描述、涉及产品批次或过程、初步处置方式、是否启动纠正措施。</w:t>
      </w:r>
    </w:p>
    <w:p>
      <w:pPr>
        <w:numPr>
          <w:ilvl w:val="0"/>
          <w:numId w:val="1003"/>
        </w:numPr>
        <w:pStyle w:val="Compact"/>
      </w:pPr>
      <w:r>
        <w:t xml:space="preserve">不合格按影响程度分为两级：</w:t>
      </w:r>
    </w:p>
    <w:p>
      <w:pPr>
        <w:numPr>
          <w:ilvl w:val="1"/>
          <w:numId w:val="1004"/>
        </w:numPr>
        <w:pStyle w:val="Compact"/>
      </w:pPr>
      <w:r>
        <w:rPr>
          <w:b/>
        </w:rPr>
        <w:t xml:space="preserve">一般不合格</w:t>
      </w:r>
      <w:r>
        <w:t xml:space="preserve">：影响轻微、一次性发生、可当场纠正，如单件外观缺陷、个别记录填写不规范；</w:t>
      </w:r>
    </w:p>
    <w:p>
      <w:pPr>
        <w:numPr>
          <w:ilvl w:val="1"/>
          <w:numId w:val="1004"/>
        </w:numPr>
        <w:pStyle w:val="Compact"/>
      </w:pPr>
      <w:r>
        <w:rPr>
          <w:b/>
        </w:rPr>
        <w:t xml:space="preserve">严重不合格</w:t>
      </w:r>
      <w:r>
        <w:t xml:space="preserve">：批量性不合格、涉及功能安全或法规要求、顾客投诉/退货、同类问题重复发生（同一年内 ≥2 次）、体系性不符合（内外部审核开出的不符合项）。</w:t>
      </w:r>
    </w:p>
    <w:p>
      <w:pPr>
        <w:numPr>
          <w:ilvl w:val="0"/>
          <w:numId w:val="1003"/>
        </w:numPr>
        <w:pStyle w:val="Compact"/>
      </w:pPr>
      <w:r>
        <w:t xml:space="preserve">顾客投诉按《与顾客有关的过程控制程序》《客户投诉处理作业指导书》先行响应，同时按本程序纳入不合格管理；内外部审核不符合项按《内部审核程序》开具后，转入本程序执行纠正措施。</w:t>
      </w:r>
    </w:p>
    <w:p>
      <w:pPr>
        <w:pStyle w:val="Heading3"/>
      </w:pPr>
      <w:bookmarkStart w:id="26" w:name="初步响应与纠正围堵"/>
      <w:r>
        <w:t xml:space="preserve">4.2 初步响应与纠正（围堵）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不合格确认后，责任部门应在</w:t>
      </w:r>
      <w:r>
        <w:t xml:space="preserve"> </w:t>
      </w:r>
      <w:r>
        <w:rPr>
          <w:b/>
        </w:rPr>
        <w:t xml:space="preserve">1～3 个工作日</w:t>
      </w:r>
      <w:r>
        <w:t xml:space="preserve"> </w:t>
      </w:r>
      <w:r>
        <w:t xml:space="preserve">内完成围堵（紧急情况 24 小时内），防止不合格扩大或流入顾客：</w:t>
      </w:r>
    </w:p>
    <w:p>
      <w:pPr>
        <w:numPr>
          <w:ilvl w:val="1"/>
          <w:numId w:val="1006"/>
        </w:numPr>
        <w:pStyle w:val="Compact"/>
      </w:pPr>
      <w:r>
        <w:t xml:space="preserve">对在制品、库存品进行隔离、全检或分选，必要时追溯已交付产品并通知顾客；</w:t>
      </w:r>
    </w:p>
    <w:p>
      <w:pPr>
        <w:numPr>
          <w:ilvl w:val="1"/>
          <w:numId w:val="1006"/>
        </w:numPr>
        <w:pStyle w:val="Compact"/>
      </w:pPr>
      <w:r>
        <w:t xml:space="preserve">对顾客投诉涉及的产品，先行采取换货、退货、维修、致歉等临时对策，平息事态；</w:t>
      </w:r>
    </w:p>
    <w:p>
      <w:pPr>
        <w:numPr>
          <w:ilvl w:val="1"/>
          <w:numId w:val="1006"/>
        </w:numPr>
        <w:pStyle w:val="Compact"/>
      </w:pPr>
      <w:r>
        <w:t xml:space="preserve">对过程异常，立即停线/停机或调整参数，防止继续产出不合格。</w:t>
      </w:r>
    </w:p>
    <w:p>
      <w:pPr>
        <w:numPr>
          <w:ilvl w:val="0"/>
          <w:numId w:val="1005"/>
        </w:numPr>
        <w:pStyle w:val="Compact"/>
      </w:pPr>
      <w:r>
        <w:t xml:space="preserve">围堵措施与根本措施必须分开管理：围堵只</w:t>
      </w:r>
      <w:r>
        <w:t xml:space="preserve">“</w:t>
      </w:r>
      <w:r>
        <w:t xml:space="preserve">止血</w:t>
      </w:r>
      <w:r>
        <w:t xml:space="preserve">”</w:t>
      </w:r>
      <w:r>
        <w:t xml:space="preserve">，不替代原因分析与纠正措施；围堵结果记入台账与《纠正措施处理单》</w:t>
      </w:r>
      <w:r>
        <w:t xml:space="preserve">“</w:t>
      </w:r>
      <w:r>
        <w:t xml:space="preserve">立即处置</w:t>
      </w:r>
      <w:r>
        <w:t xml:space="preserve">”</w:t>
      </w:r>
      <w:r>
        <w:t xml:space="preserve">栏。</w:t>
      </w:r>
    </w:p>
    <w:p>
      <w:pPr>
        <w:pStyle w:val="Heading3"/>
      </w:pPr>
      <w:bookmarkStart w:id="27" w:name="评审分析与措施需求评价"/>
      <w:r>
        <w:t xml:space="preserve">4.3 评审分析与措施需求评价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归口管理部门组织责任部门、相关技术部门对不合格进行评审分析，严重不合格由管理者代表主持，必要时请总经理参加；顾客投诉与重大质量事故可采用 8D 方法组织跨职能小组分析。</w:t>
      </w:r>
    </w:p>
    <w:p>
      <w:pPr>
        <w:numPr>
          <w:ilvl w:val="0"/>
          <w:numId w:val="1007"/>
        </w:numPr>
        <w:pStyle w:val="Compact"/>
      </w:pPr>
      <w:r>
        <w:t xml:space="preserve">原因分析须找到</w:t>
      </w:r>
      <w:r>
        <w:rPr>
          <w:b/>
        </w:rPr>
        <w:t xml:space="preserve">根本原因</w:t>
      </w:r>
      <w:r>
        <w:t xml:space="preserve">，推荐工具：</w:t>
      </w:r>
    </w:p>
    <w:p>
      <w:pPr>
        <w:numPr>
          <w:ilvl w:val="1"/>
          <w:numId w:val="1008"/>
        </w:numPr>
        <w:pStyle w:val="Compact"/>
      </w:pPr>
      <w:r>
        <w:rPr>
          <w:b/>
        </w:rPr>
        <w:t xml:space="preserve">5Why 分析法</w:t>
      </w:r>
      <w:r>
        <w:t xml:space="preserve">：连续追问</w:t>
      </w:r>
      <w:r>
        <w:t xml:space="preserve">“</w:t>
      </w:r>
      <w:r>
        <w:t xml:space="preserve">为什么</w:t>
      </w:r>
      <w:r>
        <w:t xml:space="preserve">”</w:t>
      </w:r>
      <w:r>
        <w:t xml:space="preserve">，不停在</w:t>
      </w:r>
      <w:r>
        <w:t xml:space="preserve">“</w:t>
      </w:r>
      <w:r>
        <w:t xml:space="preserve">员工疏忽</w:t>
      </w:r>
      <w:r>
        <w:t xml:space="preserve">”</w:t>
      </w:r>
      <w:r>
        <w:t xml:space="preserve">“</w:t>
      </w:r>
      <w:r>
        <w:t xml:space="preserve">操作不当</w:t>
      </w:r>
      <w:r>
        <w:t xml:space="preserve">”</w:t>
      </w:r>
      <w:r>
        <w:t xml:space="preserve">等表面原因——继续追问员工为何疏忽（作业指导不明确？防错缺失？培训不足？劳动强度过大？监督失效？），直至追溯到过程设计、文件、设备、管理层面的系统原因；</w:t>
      </w:r>
    </w:p>
    <w:p>
      <w:pPr>
        <w:numPr>
          <w:ilvl w:val="1"/>
          <w:numId w:val="1008"/>
        </w:numPr>
        <w:pStyle w:val="Compact"/>
      </w:pPr>
      <w:r>
        <w:rPr>
          <w:b/>
        </w:rPr>
        <w:t xml:space="preserve">鱼骨图（因果图）</w:t>
      </w:r>
      <w:r>
        <w:t xml:space="preserve">：从人、机、料、法、环、测六个维度系统排查；</w:t>
      </w:r>
    </w:p>
    <w:p>
      <w:pPr>
        <w:numPr>
          <w:ilvl w:val="1"/>
          <w:numId w:val="1008"/>
        </w:numPr>
        <w:pStyle w:val="Compact"/>
      </w:pPr>
      <w:r>
        <w:t xml:space="preserve">涉及设计缺陷的，结合 FMEA（失效模式与影响分析）更新分析；涉及供方的，要求供方提供其根本原因分析。</w:t>
      </w:r>
    </w:p>
    <w:p>
      <w:pPr>
        <w:numPr>
          <w:ilvl w:val="0"/>
          <w:numId w:val="1007"/>
        </w:numPr>
        <w:pStyle w:val="Compact"/>
      </w:pPr>
      <w:r>
        <w:t xml:space="preserve">依据分析结论，评价</w:t>
      </w:r>
      <w:r>
        <w:rPr>
          <w:b/>
        </w:rPr>
        <w:t xml:space="preserve">是否需要采取纠正措施</w:t>
      </w:r>
      <w:r>
        <w:t xml:space="preserve">。符合下列条件之一的必须启动：</w:t>
      </w:r>
    </w:p>
    <w:p>
      <w:pPr>
        <w:numPr>
          <w:ilvl w:val="1"/>
          <w:numId w:val="1009"/>
        </w:numPr>
        <w:pStyle w:val="Compact"/>
      </w:pPr>
      <w:r>
        <w:t xml:space="preserve">严重不合格（批量、功能/安全/法规影响、顾客投诉与退货）；</w:t>
      </w:r>
    </w:p>
    <w:p>
      <w:pPr>
        <w:numPr>
          <w:ilvl w:val="1"/>
          <w:numId w:val="1009"/>
        </w:numPr>
        <w:pStyle w:val="Compact"/>
      </w:pPr>
      <w:r>
        <w:t xml:space="preserve">同类不合格在一年内重复发生 ≥2 次；</w:t>
      </w:r>
    </w:p>
    <w:p>
      <w:pPr>
        <w:numPr>
          <w:ilvl w:val="1"/>
          <w:numId w:val="1009"/>
        </w:numPr>
        <w:pStyle w:val="Compact"/>
      </w:pPr>
      <w:r>
        <w:t xml:space="preserve">内外部审核开出的不符合项；</w:t>
      </w:r>
    </w:p>
    <w:p>
      <w:pPr>
        <w:numPr>
          <w:ilvl w:val="1"/>
          <w:numId w:val="1009"/>
        </w:numPr>
        <w:pStyle w:val="Compact"/>
      </w:pPr>
      <w:r>
        <w:t xml:space="preserve">原因涉及体系性缺陷（文件缺失、职责不清、过程设计不合理）；</w:t>
      </w:r>
    </w:p>
    <w:p>
      <w:pPr>
        <w:numPr>
          <w:ilvl w:val="1"/>
          <w:numId w:val="1009"/>
        </w:numPr>
        <w:pStyle w:val="Compact"/>
      </w:pPr>
      <w:r>
        <w:t xml:space="preserve">数据分析显示不良趋势持续上升。</w:t>
      </w:r>
    </w:p>
    <w:p>
      <w:pPr>
        <w:numPr>
          <w:ilvl w:val="0"/>
          <w:numId w:val="1007"/>
        </w:numPr>
        <w:pStyle w:val="Compact"/>
      </w:pPr>
      <w:r>
        <w:t xml:space="preserve">经评价确定不需采取纠正措施的（一次性、原因确为偶然且残余风险低），应在台账中记录评价结论与理由，由管理者代表批准后归档；不得以</w:t>
      </w:r>
      <w:r>
        <w:t xml:space="preserve">“</w:t>
      </w:r>
      <w:r>
        <w:t xml:space="preserve">已返工处理完毕</w:t>
      </w:r>
      <w:r>
        <w:t xml:space="preserve">”</w:t>
      </w:r>
      <w:r>
        <w:t xml:space="preserve">为由默认跳过评价。</w:t>
      </w:r>
    </w:p>
    <w:p>
      <w:pPr>
        <w:pStyle w:val="Heading3"/>
      </w:pPr>
      <w:bookmarkStart w:id="28" w:name="纠正措施的策划与实施"/>
      <w:r>
        <w:t xml:space="preserve">4.4 纠正措施的策划与实施</w:t>
      </w:r>
      <w:bookmarkEnd w:id="28"/>
    </w:p>
    <w:p>
      <w:pPr>
        <w:numPr>
          <w:ilvl w:val="0"/>
          <w:numId w:val="1010"/>
        </w:numPr>
        <w:pStyle w:val="Compact"/>
      </w:pPr>
      <w:r>
        <w:t xml:space="preserve">对需要采取措施的不合格，归口管理部门开具《纠正措施处理单》（编号 CM-年份-顺序号），明确：</w:t>
      </w:r>
    </w:p>
    <w:p>
      <w:pPr>
        <w:numPr>
          <w:ilvl w:val="1"/>
          <w:numId w:val="1011"/>
        </w:numPr>
        <w:pStyle w:val="Compact"/>
      </w:pPr>
      <w:r>
        <w:t xml:space="preserve">不合格事实与影响范围；</w:t>
      </w:r>
    </w:p>
    <w:p>
      <w:pPr>
        <w:numPr>
          <w:ilvl w:val="1"/>
          <w:numId w:val="1011"/>
        </w:numPr>
        <w:pStyle w:val="Compact"/>
      </w:pPr>
      <w:r>
        <w:t xml:space="preserve">根本原因分析结论；</w:t>
      </w:r>
    </w:p>
    <w:p>
      <w:pPr>
        <w:numPr>
          <w:ilvl w:val="1"/>
          <w:numId w:val="1011"/>
        </w:numPr>
        <w:pStyle w:val="Compact"/>
      </w:pPr>
      <w:r>
        <w:rPr>
          <w:b/>
        </w:rPr>
        <w:t xml:space="preserve">纠正措施内容</w:t>
      </w:r>
      <w:r>
        <w:t xml:space="preserve">：针对根本原因的措施，可从技术（防错、工艺改进、工装改造）、文件（修订作业指导书/检验标准/程序）、管理（职责调整、流程优化）、人员（针对性培训与考核、能力确认）、供方（要求供方整改并验证）等维度制定；措施应具体可执行、可验证，禁止写</w:t>
      </w:r>
      <w:r>
        <w:t xml:space="preserve">“</w:t>
      </w:r>
      <w:r>
        <w:t xml:space="preserve">加强培训</w:t>
      </w:r>
      <w:r>
        <w:t xml:space="preserve">”</w:t>
      </w:r>
      <w:r>
        <w:t xml:space="preserve">“</w:t>
      </w:r>
      <w:r>
        <w:t xml:space="preserve">加强检验</w:t>
      </w:r>
      <w:r>
        <w:t xml:space="preserve">”</w:t>
      </w:r>
      <w:r>
        <w:t xml:space="preserve">“</w:t>
      </w:r>
      <w:r>
        <w:t xml:space="preserve">提高意识</w:t>
      </w:r>
      <w:r>
        <w:t xml:space="preserve">”</w:t>
      </w:r>
      <w:r>
        <w:t xml:space="preserve">等无法验证的笼统表述；</w:t>
      </w:r>
    </w:p>
    <w:p>
      <w:pPr>
        <w:numPr>
          <w:ilvl w:val="1"/>
          <w:numId w:val="1011"/>
        </w:numPr>
        <w:pStyle w:val="Compact"/>
      </w:pPr>
      <w:r>
        <w:t xml:space="preserve">责任部门与责任人；</w:t>
      </w:r>
    </w:p>
    <w:p>
      <w:pPr>
        <w:numPr>
          <w:ilvl w:val="1"/>
          <w:numId w:val="1011"/>
        </w:numPr>
        <w:pStyle w:val="Compact"/>
      </w:pPr>
      <w:r>
        <w:t xml:space="preserve">完成时限：一般</w:t>
      </w:r>
      <w:r>
        <w:t xml:space="preserve"> </w:t>
      </w:r>
      <w:r>
        <w:rPr>
          <w:b/>
        </w:rPr>
        <w:t xml:space="preserve">7～30 个工作日</w:t>
      </w:r>
      <w:r>
        <w:t xml:space="preserve">，重大改进项目可适当延长并分阶段设定里程碑，最长不超过 90 个工作日。</w:t>
      </w:r>
    </w:p>
    <w:p>
      <w:pPr>
        <w:numPr>
          <w:ilvl w:val="0"/>
          <w:numId w:val="1010"/>
        </w:numPr>
        <w:pStyle w:val="Compact"/>
      </w:pPr>
      <w:r>
        <w:t xml:space="preserve">措施方案经归口管理部门审核、管理者代表批准后实施；涉及重大投入或跨部门资源调配的，报总经理批准。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举一反三（横向展开）</w:t>
      </w:r>
      <w:r>
        <w:t xml:space="preserve">：责任部门应排查同类产品、同类工序、同类设备、同类人员是否存在类似隐患，一并纳入整改范围，防止同一原因</w:t>
      </w:r>
      <w:r>
        <w:t xml:space="preserve">“</w:t>
      </w:r>
      <w:r>
        <w:t xml:space="preserve">换个地方再犯</w:t>
      </w:r>
      <w:r>
        <w:t xml:space="preserve">”</w:t>
      </w:r>
      <w:r>
        <w:t xml:space="preserve">。</w:t>
      </w:r>
    </w:p>
    <w:p>
      <w:pPr>
        <w:numPr>
          <w:ilvl w:val="0"/>
          <w:numId w:val="1010"/>
        </w:numPr>
        <w:pStyle w:val="Compact"/>
      </w:pPr>
      <w:r>
        <w:t xml:space="preserve">措施实施涉及文件更改的，按《文件控制程序》办理文件修订与换版；涉及作业方法变更的，须同步开展培训并保留培训记录；涉及风险变化的，更新《风险和机遇清单》。</w:t>
      </w:r>
    </w:p>
    <w:p>
      <w:pPr>
        <w:numPr>
          <w:ilvl w:val="0"/>
          <w:numId w:val="1010"/>
        </w:numPr>
        <w:pStyle w:val="Compact"/>
      </w:pPr>
      <w:r>
        <w:t xml:space="preserve">不合格原因涉及外部供方的，由采购部门向供方发出《纠正措施要求单》，要求供方按期完成原因分析与整改，并跟踪验证其有效性，验证结果作为供方绩效评价的输入。</w:t>
      </w:r>
    </w:p>
    <w:p>
      <w:pPr>
        <w:pStyle w:val="Heading3"/>
      </w:pPr>
      <w:bookmarkStart w:id="29" w:name="纠正措施的有效性验证"/>
      <w:r>
        <w:t xml:space="preserve">4.5 纠正措施的有效性验证</w:t>
      </w:r>
      <w:bookmarkEnd w:id="29"/>
    </w:p>
    <w:p>
      <w:pPr>
        <w:numPr>
          <w:ilvl w:val="0"/>
          <w:numId w:val="1012"/>
        </w:numPr>
        <w:pStyle w:val="Compact"/>
      </w:pPr>
      <w:r>
        <w:t xml:space="preserve">措施完成后，责任部门向归口管理部门提交完成证据（修订后的文件、培训记录、工装改造照片、工艺验证数据、连续批次检验记录等）。</w:t>
      </w:r>
    </w:p>
    <w:p>
      <w:pPr>
        <w:numPr>
          <w:ilvl w:val="0"/>
          <w:numId w:val="1012"/>
        </w:numPr>
        <w:pStyle w:val="Compact"/>
      </w:pPr>
      <w:r>
        <w:t xml:space="preserve">归口管理部门在措施完成后</w:t>
      </w:r>
      <w:r>
        <w:t xml:space="preserve"> </w:t>
      </w:r>
      <w:r>
        <w:rPr>
          <w:b/>
        </w:rPr>
        <w:t xml:space="preserve">1～3 个月</w:t>
      </w:r>
      <w:r>
        <w:t xml:space="preserve">（视问题性质确定观察期）进行有效性验证，验证方式包括：</w:t>
      </w:r>
    </w:p>
    <w:p>
      <w:pPr>
        <w:numPr>
          <w:ilvl w:val="1"/>
          <w:numId w:val="1013"/>
        </w:numPr>
        <w:pStyle w:val="Compact"/>
      </w:pPr>
      <w:r>
        <w:rPr>
          <w:b/>
        </w:rPr>
        <w:t xml:space="preserve">数据对比</w:t>
      </w:r>
      <w:r>
        <w:t xml:space="preserve">：比较措施实施前后同类不良率、投诉次数等指标（一般取措施实施后连续 3 个月数据，与措施实施前同期对比）；</w:t>
      </w:r>
    </w:p>
    <w:p>
      <w:pPr>
        <w:numPr>
          <w:ilvl w:val="1"/>
          <w:numId w:val="1013"/>
        </w:numPr>
        <w:pStyle w:val="Compact"/>
      </w:pPr>
      <w:r>
        <w:rPr>
          <w:b/>
        </w:rPr>
        <w:t xml:space="preserve">现场确认</w:t>
      </w:r>
      <w:r>
        <w:t xml:space="preserve">：核查防错装置、新工装、文件与现场作业的一致性；</w:t>
      </w:r>
    </w:p>
    <w:p>
      <w:pPr>
        <w:numPr>
          <w:ilvl w:val="1"/>
          <w:numId w:val="1013"/>
        </w:numPr>
        <w:pStyle w:val="Compact"/>
      </w:pPr>
      <w:r>
        <w:rPr>
          <w:b/>
        </w:rPr>
        <w:t xml:space="preserve">连续批次观察</w:t>
      </w:r>
      <w:r>
        <w:t xml:space="preserve">：对改进后的产品连续跟踪 N 批（如 5～10 批）确认无重复不良；</w:t>
      </w:r>
    </w:p>
    <w:p>
      <w:pPr>
        <w:numPr>
          <w:ilvl w:val="1"/>
          <w:numId w:val="1013"/>
        </w:numPr>
        <w:pStyle w:val="Compact"/>
      </w:pPr>
      <w:r>
        <w:rPr>
          <w:b/>
        </w:rPr>
        <w:t xml:space="preserve">审核确认</w:t>
      </w:r>
      <w:r>
        <w:t xml:space="preserve">：结合下次内部审核专项核查整改措施的保持情况。</w:t>
      </w:r>
    </w:p>
    <w:p>
      <w:pPr>
        <w:numPr>
          <w:ilvl w:val="0"/>
          <w:numId w:val="1012"/>
        </w:numPr>
        <w:pStyle w:val="Compact"/>
      </w:pPr>
      <w:r>
        <w:t xml:space="preserve">验证结论分</w:t>
      </w:r>
      <w:r>
        <w:t xml:space="preserve">“</w:t>
      </w:r>
      <w:r>
        <w:t xml:space="preserve">有效</w:t>
      </w:r>
      <w:r>
        <w:t xml:space="preserve">”</w:t>
      </w:r>
      <w:r>
        <w:t xml:space="preserve">“</w:t>
      </w:r>
      <w:r>
        <w:t xml:space="preserve">基本有效（需巩固）</w:t>
      </w:r>
      <w:r>
        <w:t xml:space="preserve">”</w:t>
      </w:r>
      <w:r>
        <w:t xml:space="preserve">“</w:t>
      </w:r>
      <w:r>
        <w:t xml:space="preserve">无效</w:t>
      </w:r>
      <w:r>
        <w:t xml:space="preserve">”</w:t>
      </w:r>
      <w:r>
        <w:t xml:space="preserve">三档记入处理单：</w:t>
      </w:r>
    </w:p>
    <w:p>
      <w:pPr>
        <w:numPr>
          <w:ilvl w:val="1"/>
          <w:numId w:val="1014"/>
        </w:numPr>
        <w:pStyle w:val="Compact"/>
      </w:pPr>
      <w:r>
        <w:t xml:space="preserve">有效：关闭该纠正措施项；</w:t>
      </w:r>
    </w:p>
    <w:p>
      <w:pPr>
        <w:numPr>
          <w:ilvl w:val="1"/>
          <w:numId w:val="1014"/>
        </w:numPr>
        <w:pStyle w:val="Compact"/>
      </w:pPr>
      <w:r>
        <w:t xml:space="preserve">无效或未达预期：退回责任部门重新进行原因分析、重新制定措施，升级跟踪层级，直至验证有效；</w:t>
      </w:r>
    </w:p>
    <w:p>
      <w:pPr>
        <w:numPr>
          <w:ilvl w:val="1"/>
          <w:numId w:val="1014"/>
        </w:numPr>
        <w:pStyle w:val="Compact"/>
      </w:pPr>
      <w:r>
        <w:t xml:space="preserve">措施有效但指标未完全恢复的，转入持续改进项目跟踪。</w:t>
      </w:r>
    </w:p>
    <w:p>
      <w:pPr>
        <w:numPr>
          <w:ilvl w:val="0"/>
          <w:numId w:val="1012"/>
        </w:numPr>
        <w:pStyle w:val="Compact"/>
      </w:pPr>
      <w:r>
        <w:t xml:space="preserve">到期未完成的，责任部门应书面说明原因并申请延期，经管理者代表批准；无故拖延的，由归口管理部门报管理者代表督办并纳入部门绩效考核。</w:t>
      </w:r>
    </w:p>
    <w:p>
      <w:pPr>
        <w:pStyle w:val="Heading3"/>
      </w:pPr>
      <w:bookmarkStart w:id="30" w:name="风险与文件的更新"/>
      <w:r>
        <w:t xml:space="preserve">4.6 风险与文件的更新</w:t>
      </w:r>
      <w:bookmarkEnd w:id="30"/>
    </w:p>
    <w:p>
      <w:pPr>
        <w:numPr>
          <w:ilvl w:val="0"/>
          <w:numId w:val="1015"/>
        </w:numPr>
        <w:pStyle w:val="Compact"/>
      </w:pPr>
      <w:r>
        <w:t xml:space="preserve">按标准 10.2.1 e)、f) 的要求，纠正措施关闭时应评审：是否需更新策划期间确定的风险和机遇（如将已发生失效模式补充进 FMEA 与《风险和机遇清单》）；是否需变更质量管理体系（修订程序文件、作业指导书、检验标准、控制计划等）。</w:t>
      </w:r>
    </w:p>
    <w:p>
      <w:pPr>
        <w:numPr>
          <w:ilvl w:val="0"/>
          <w:numId w:val="1015"/>
        </w:numPr>
        <w:pStyle w:val="Compact"/>
      </w:pPr>
      <w:r>
        <w:t xml:space="preserve">涉及设计或工艺变更的，按《设计和开发控制程序》或《变更管理程序》执行变更评审与再验证，确保措施本身不引入新的风险。</w:t>
      </w:r>
    </w:p>
    <w:p>
      <w:pPr>
        <w:pStyle w:val="Heading3"/>
      </w:pPr>
      <w:bookmarkStart w:id="31" w:name="统计分析与管理联动"/>
      <w:r>
        <w:t xml:space="preserve">4.7 统计分析与管理联动</w:t>
      </w:r>
      <w:bookmarkEnd w:id="31"/>
    </w:p>
    <w:p>
      <w:pPr>
        <w:numPr>
          <w:ilvl w:val="0"/>
          <w:numId w:val="1016"/>
        </w:numPr>
        <w:pStyle w:val="Compact"/>
      </w:pPr>
      <w:r>
        <w:t xml:space="preserve">归口管理部门按月统计《纠正措施统计台账》，输出指标：不合格总数与分类分布、纠正措施开出数、按期完成率、验证一次通过率、重复问题清单。</w:t>
      </w:r>
    </w:p>
    <w:p>
      <w:pPr>
        <w:numPr>
          <w:ilvl w:val="0"/>
          <w:numId w:val="1016"/>
        </w:numPr>
        <w:pStyle w:val="Compact"/>
      </w:pPr>
      <w:r>
        <w:t xml:space="preserve">重复发生 ≥2 次的问题应升级处理：由管理者代表组织专题分析，必要时上升为持续改进项目（按《持续改进程序》执行）。</w:t>
      </w:r>
    </w:p>
    <w:p>
      <w:pPr>
        <w:numPr>
          <w:ilvl w:val="0"/>
          <w:numId w:val="1016"/>
        </w:numPr>
        <w:pStyle w:val="Compact"/>
      </w:pPr>
      <w:r>
        <w:t xml:space="preserve">纠正措施台账与统计分析结果作为《数据分析与评价程序》的输入、管理评审的固定输入项，确保</w:t>
      </w:r>
      <w:r>
        <w:t xml:space="preserve">“</w:t>
      </w:r>
      <w:r>
        <w:t xml:space="preserve">不合格→纠正措施→验证→统计→评审决策</w:t>
      </w:r>
      <w:r>
        <w:t xml:space="preserve">”</w:t>
      </w:r>
      <w:r>
        <w:t xml:space="preserve">的证据链完整。</w:t>
      </w:r>
    </w:p>
    <w:p>
      <w:pPr>
        <w:pStyle w:val="Heading3"/>
      </w:pPr>
      <w:bookmarkStart w:id="32" w:name="流程图文字版"/>
      <w:r>
        <w:t xml:space="preserve">4.8 流程图文字版</w:t>
      </w:r>
      <w:bookmarkEnd w:id="32"/>
    </w:p>
    <w:p>
      <w:pPr>
        <w:pStyle w:val="SourceCode"/>
      </w:pPr>
      <w:r>
        <w:rPr>
          <w:rStyle w:val="VerbatimChar"/>
        </w:rPr>
        <w:t xml:space="preserve">（1）信息收集：检验/顾客/审核/供方/过程异常 → 各部门 1 个工作日内报归口部门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（2）登记分级：录入《不合格信息登记台账》→ 判定一般/严重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（3）纠正（围堵）：隔离/全检/换货/停线等 → 1～3 个工作日完成（紧急 24 小时）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（4）评审分析：原因分析（5Why/鱼骨图/FMEA）→ 评价是否需要纠正措施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（5）不需措施：记录理由 → 管理者代表批准 → 归档（台账关闭）</w:t>
      </w:r>
      <w:r>
        <w:br/>
      </w:r>
      <w:r>
        <w:rPr>
          <w:rStyle w:val="VerbatimChar"/>
        </w:rPr>
        <w:t xml:space="preserve">      ↓（需要）</w:t>
      </w:r>
      <w:r>
        <w:br/>
      </w:r>
      <w:r>
        <w:rPr>
          <w:rStyle w:val="VerbatimChar"/>
        </w:rPr>
        <w:t xml:space="preserve">（6）措施策划：开具《纠正措施处理单》→ 明确措施/责任/时限 → 批准实施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（7）实施与举一反三：技术/文件/管理/培训/供方整改 → 横向排查同类隐患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（8）有效性验证：数据对比/现场确认/连续批次观察 → 1～3 个月观察期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（9）验证结论：有效 → 关闭并更新风险与文件；无效 → 退回重新分析（循环）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（10）统计闭环：月度台账统计 → 管理评审输入 → 持续改进项目</w:t>
      </w:r>
    </w:p>
    <w:p>
      <w:pPr>
        <w:pStyle w:val="Heading3"/>
      </w:pPr>
      <w:bookmarkStart w:id="33" w:name="表单引用"/>
      <w:r>
        <w:t xml:space="preserve">4.9 表单引用</w:t>
      </w:r>
      <w:bookmarkEnd w:id="33"/>
    </w:p>
    <w:p>
      <w:pPr>
        <w:pStyle w:val="FirstParagraph"/>
      </w:pPr>
      <w:r>
        <w:t xml:space="preserve">本程序运行涉及以下表单，格式见四级文件记录表单模板：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不合格信息登记台账</w:t>
            </w:r>
          </w:p>
        </w:tc>
        <w:tc>
          <w:p>
            <w:pPr>
              <w:pStyle w:val="Compact"/>
              <w:jc w:val="left"/>
            </w:pPr>
            <w:r>
              <w:t xml:space="preserve">QR-27-01</w:t>
            </w:r>
          </w:p>
        </w:tc>
        <w:tc>
          <w:p>
            <w:pPr>
              <w:pStyle w:val="Compact"/>
              <w:jc w:val="left"/>
            </w:pPr>
            <w:r>
              <w:t xml:space="preserve">归口管理部门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纠正措施处理单</w:t>
            </w:r>
          </w:p>
        </w:tc>
        <w:tc>
          <w:p>
            <w:pPr>
              <w:pStyle w:val="Compact"/>
              <w:jc w:val="left"/>
            </w:pPr>
            <w:r>
              <w:t xml:space="preserve">QR-27-02</w:t>
            </w:r>
          </w:p>
        </w:tc>
        <w:tc>
          <w:p>
            <w:pPr>
              <w:pStyle w:val="Compact"/>
              <w:jc w:val="left"/>
            </w:pPr>
            <w:r>
              <w:t xml:space="preserve">归口管理部门/责任部门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纠正措施验证报告</w:t>
            </w:r>
          </w:p>
        </w:tc>
        <w:tc>
          <w:p>
            <w:pPr>
              <w:pStyle w:val="Compact"/>
              <w:jc w:val="left"/>
            </w:pPr>
            <w:r>
              <w:t xml:space="preserve">QR-27-03</w:t>
            </w:r>
          </w:p>
        </w:tc>
        <w:tc>
          <w:p>
            <w:pPr>
              <w:pStyle w:val="Compact"/>
              <w:jc w:val="left"/>
            </w:pPr>
            <w:r>
              <w:t xml:space="preserve">归口管理部门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纠正措施统计台账</w:t>
            </w:r>
          </w:p>
        </w:tc>
        <w:tc>
          <w:p>
            <w:pPr>
              <w:pStyle w:val="Compact"/>
              <w:jc w:val="left"/>
            </w:pPr>
            <w:r>
              <w:t xml:space="preserve">QR-27-04</w:t>
            </w:r>
          </w:p>
        </w:tc>
        <w:tc>
          <w:p>
            <w:pPr>
              <w:pStyle w:val="Compact"/>
              <w:jc w:val="left"/>
            </w:pPr>
            <w:r>
              <w:t xml:space="preserve">归口管理部门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供方纠正措施要求单</w:t>
            </w:r>
          </w:p>
        </w:tc>
        <w:tc>
          <w:p>
            <w:pPr>
              <w:pStyle w:val="Compact"/>
              <w:jc w:val="left"/>
            </w:pPr>
            <w:r>
              <w:t xml:space="preserve">QR-27-05</w:t>
            </w:r>
          </w:p>
        </w:tc>
        <w:tc>
          <w:p>
            <w:pPr>
              <w:pStyle w:val="Compact"/>
              <w:jc w:val="left"/>
            </w:pPr>
            <w:r>
              <w:t xml:space="preserve">采购部门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Heading2"/>
      </w:pPr>
      <w:bookmarkStart w:id="34" w:name="五相关记录"/>
      <w:r>
        <w:t xml:space="preserve">五、相关记录</w:t>
      </w:r>
      <w:bookmarkEnd w:id="34"/>
    </w:p>
    <w:p>
      <w:pPr>
        <w:numPr>
          <w:ilvl w:val="0"/>
          <w:numId w:val="1017"/>
        </w:numPr>
        <w:pStyle w:val="Compact"/>
      </w:pPr>
      <w:r>
        <w:t xml:space="preserve">《不合格信息登记台账》；</w:t>
      </w:r>
    </w:p>
    <w:p>
      <w:pPr>
        <w:numPr>
          <w:ilvl w:val="0"/>
          <w:numId w:val="1017"/>
        </w:numPr>
        <w:pStyle w:val="Compact"/>
      </w:pPr>
      <w:r>
        <w:t xml:space="preserve">《纠正措施处理单》（含原因分析、措施方案、实施证据）；</w:t>
      </w:r>
    </w:p>
    <w:p>
      <w:pPr>
        <w:numPr>
          <w:ilvl w:val="0"/>
          <w:numId w:val="1017"/>
        </w:numPr>
        <w:pStyle w:val="Compact"/>
      </w:pPr>
      <w:r>
        <w:t xml:space="preserve">《纠正措施验证报告》；</w:t>
      </w:r>
    </w:p>
    <w:p>
      <w:pPr>
        <w:numPr>
          <w:ilvl w:val="0"/>
          <w:numId w:val="1017"/>
        </w:numPr>
        <w:pStyle w:val="Compact"/>
      </w:pPr>
      <w:r>
        <w:t xml:space="preserve">《纠正措施统计台账》（含按期完成率、验证通过率、重复问题清单）；</w:t>
      </w:r>
    </w:p>
    <w:p>
      <w:pPr>
        <w:numPr>
          <w:ilvl w:val="0"/>
          <w:numId w:val="1017"/>
        </w:numPr>
        <w:pStyle w:val="Compact"/>
      </w:pPr>
      <w:r>
        <w:t xml:space="preserve">供方《纠正措施要求单》及供方回复整改资料；</w:t>
      </w:r>
    </w:p>
    <w:p>
      <w:pPr>
        <w:numPr>
          <w:ilvl w:val="0"/>
          <w:numId w:val="1017"/>
        </w:numPr>
        <w:pStyle w:val="Compact"/>
      </w:pPr>
      <w:r>
        <w:t xml:space="preserve">相关培训记录、文件修订记录、FMEA/风险清单更新记录。</w:t>
      </w:r>
    </w:p>
    <w:p>
      <w:pPr>
        <w:pStyle w:val="FirstParagraph"/>
      </w:pPr>
      <w:r>
        <w:t xml:space="preserve">以上记录按《记录控制程序》归档，保存期限见 4.9 表；涉及产品安全、法规追溯的纠正措施记录，保存期限按法规要求执行。</w:t>
      </w:r>
    </w:p>
    <w:p>
      <w:pPr>
        <w:pStyle w:val="Heading2"/>
      </w:pPr>
      <w:bookmarkStart w:id="35" w:name="六相关文件"/>
      <w:r>
        <w:t xml:space="preserve">六、相关文件</w:t>
      </w:r>
      <w:bookmarkEnd w:id="35"/>
    </w:p>
    <w:p>
      <w:pPr>
        <w:numPr>
          <w:ilvl w:val="0"/>
          <w:numId w:val="1018"/>
        </w:numPr>
        <w:pStyle w:val="Compact"/>
      </w:pPr>
      <w:r>
        <w:t xml:space="preserve">ISO 9001:2015《质量管理体系 要求》条款 10.2、8.7；</w:t>
      </w:r>
    </w:p>
    <w:p>
      <w:pPr>
        <w:numPr>
          <w:ilvl w:val="0"/>
          <w:numId w:val="1018"/>
        </w:numPr>
        <w:pStyle w:val="Compact"/>
      </w:pPr>
      <w:r>
        <w:t xml:space="preserve">《不合格品控制程序》；</w:t>
      </w:r>
    </w:p>
    <w:p>
      <w:pPr>
        <w:numPr>
          <w:ilvl w:val="0"/>
          <w:numId w:val="1018"/>
        </w:numPr>
        <w:pStyle w:val="Compact"/>
      </w:pPr>
      <w:r>
        <w:t xml:space="preserve">《记录控制程序》；</w:t>
      </w:r>
    </w:p>
    <w:p>
      <w:pPr>
        <w:numPr>
          <w:ilvl w:val="0"/>
          <w:numId w:val="1018"/>
        </w:numPr>
        <w:pStyle w:val="Compact"/>
      </w:pPr>
      <w:r>
        <w:t xml:space="preserve">《文件控制程序》；</w:t>
      </w:r>
    </w:p>
    <w:p>
      <w:pPr>
        <w:numPr>
          <w:ilvl w:val="0"/>
          <w:numId w:val="1018"/>
        </w:numPr>
        <w:pStyle w:val="Compact"/>
      </w:pPr>
      <w:r>
        <w:t xml:space="preserve">《内部审核程序》；</w:t>
      </w:r>
    </w:p>
    <w:p>
      <w:pPr>
        <w:numPr>
          <w:ilvl w:val="0"/>
          <w:numId w:val="1018"/>
        </w:numPr>
        <w:pStyle w:val="Compact"/>
      </w:pPr>
      <w:r>
        <w:t xml:space="preserve">《与顾客有关的过程控制程序》及《客户投诉处理作业指导书》；</w:t>
      </w:r>
    </w:p>
    <w:p>
      <w:pPr>
        <w:numPr>
          <w:ilvl w:val="0"/>
          <w:numId w:val="1018"/>
        </w:numPr>
        <w:pStyle w:val="Compact"/>
      </w:pPr>
      <w:r>
        <w:t xml:space="preserve">《风险与机遇管理程序》；</w:t>
      </w:r>
    </w:p>
    <w:p>
      <w:pPr>
        <w:numPr>
          <w:ilvl w:val="0"/>
          <w:numId w:val="1018"/>
        </w:numPr>
        <w:pStyle w:val="Compact"/>
      </w:pPr>
      <w:r>
        <w:t xml:space="preserve">《持续改进程序》；</w:t>
      </w:r>
    </w:p>
    <w:p>
      <w:pPr>
        <w:numPr>
          <w:ilvl w:val="0"/>
          <w:numId w:val="1018"/>
        </w:numPr>
        <w:pStyle w:val="Compact"/>
      </w:pPr>
      <w:r>
        <w:t xml:space="preserve">《数据分析与评价程序》；</w:t>
      </w:r>
    </w:p>
    <w:p>
      <w:pPr>
        <w:numPr>
          <w:ilvl w:val="0"/>
          <w:numId w:val="1018"/>
        </w:numPr>
        <w:pStyle w:val="Compact"/>
      </w:pPr>
      <w:r>
        <w:t xml:space="preserve">《管理评审程序》。</w:t>
      </w:r>
    </w:p>
    <w:p>
      <w:pPr>
        <w:pStyle w:val="Heading2"/>
      </w:pPr>
      <w:bookmarkStart w:id="36" w:name="使用说明"/>
      <w:r>
        <w:t xml:space="preserve">使用说明</w:t>
      </w:r>
      <w:bookmarkEnd w:id="36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19"/>
        </w:numPr>
        <w:pStyle w:val="Compact"/>
      </w:pPr>
      <w:r>
        <w:rPr>
          <w:b/>
        </w:rPr>
        <w:t xml:space="preserve">组织适配</w:t>
      </w:r>
      <w:r>
        <w:t xml:space="preserve">：小型企业可不设专职归口部门，由品质部一人兼管台账与跟踪，</w:t>
      </w:r>
      <w:r>
        <w:t xml:space="preserve">“</w:t>
      </w:r>
      <w:r>
        <w:t xml:space="preserve">管理者代表批准</w:t>
      </w:r>
      <w:r>
        <w:t xml:space="preserve">”</w:t>
      </w:r>
      <w:r>
        <w:t xml:space="preserve">环节可由总经理直接批准，但</w:t>
      </w:r>
      <w:r>
        <w:t xml:space="preserve">“</w:t>
      </w:r>
      <w:r>
        <w:t xml:space="preserve">登记→分析→措施→验证</w:t>
      </w:r>
      <w:r>
        <w:t xml:space="preserve">”</w:t>
      </w:r>
      <w:r>
        <w:t xml:space="preserve">四步闭环不能省；处理单可采用一页纸格式，将不合格描述、原因分析、措施、验证合并为一张表，减少文牍负担。</w:t>
      </w:r>
    </w:p>
    <w:p>
      <w:pPr>
        <w:numPr>
          <w:ilvl w:val="0"/>
          <w:numId w:val="1019"/>
        </w:numPr>
        <w:pStyle w:val="Compact"/>
      </w:pPr>
      <w:r>
        <w:rPr>
          <w:b/>
        </w:rPr>
        <w:t xml:space="preserve">流程适配</w:t>
      </w:r>
      <w:r>
        <w:t xml:space="preserve">：与顾客投诉流程衔接时，可在《客户投诉处理作业指导书》中约定</w:t>
      </w:r>
      <w:r>
        <w:t xml:space="preserve">“</w:t>
      </w:r>
      <w:r>
        <w:t xml:space="preserve">投诉分级标准</w:t>
      </w:r>
      <w:r>
        <w:t xml:space="preserve">”</w:t>
      </w:r>
      <w:r>
        <w:t xml:space="preserve">，一般投诉按本程序简易路径处理，重大投诉强制采用 8D 报告并附 D5～D8 完整记录；与内审衔接时，审核不符合项可直接引用本程序，无需重复开单。</w:t>
      </w:r>
    </w:p>
    <w:p>
      <w:pPr>
        <w:numPr>
          <w:ilvl w:val="0"/>
          <w:numId w:val="1019"/>
        </w:numPr>
        <w:pStyle w:val="Compact"/>
      </w:pPr>
      <w:r>
        <w:rPr>
          <w:b/>
        </w:rPr>
        <w:t xml:space="preserve">行业适配</w:t>
      </w:r>
      <w:r>
        <w:t xml:space="preserve">：汽车行业（IATF 16949）应补充</w:t>
      </w:r>
      <w:r>
        <w:t xml:space="preserve">“</w:t>
      </w:r>
      <w:r>
        <w:t xml:space="preserve">顾客特定要求</w:t>
      </w:r>
      <w:r>
        <w:t xml:space="preserve">”</w:t>
      </w:r>
      <w:r>
        <w:t xml:space="preserve">的响应时限（常为 24 小时内围堵、90 天内闭环）并采用 8D 报告；食品行业应把</w:t>
      </w:r>
      <w:r>
        <w:t xml:space="preserve">“</w:t>
      </w:r>
      <w:r>
        <w:t xml:space="preserve">不安全产品召回</w:t>
      </w:r>
      <w:r>
        <w:t xml:space="preserve">”</w:t>
      </w:r>
      <w:r>
        <w:t xml:space="preserve">后的原因分析与措施验证与《应急准备与响应作业指导书》联动；软件与服务业可将</w:t>
      </w:r>
      <w:r>
        <w:t xml:space="preserve">“</w:t>
      </w:r>
      <w:r>
        <w:t xml:space="preserve">缺陷/故障单</w:t>
      </w:r>
      <w:r>
        <w:t xml:space="preserve">”</w:t>
      </w:r>
      <w:r>
        <w:t xml:space="preserve">直接映射为本程序的登记载体，把缺陷跟踪系统（如 Bug 管理系统）中的关闭记录作为验证证据。</w:t>
      </w:r>
    </w:p>
    <w:p>
      <w:pPr>
        <w:numPr>
          <w:ilvl w:val="0"/>
          <w:numId w:val="1019"/>
        </w:numPr>
        <w:pStyle w:val="Compact"/>
      </w:pPr>
      <w:r>
        <w:rPr>
          <w:b/>
        </w:rPr>
        <w:t xml:space="preserve">阈值适配</w:t>
      </w:r>
      <w:r>
        <w:t xml:space="preserve">：</w:t>
      </w:r>
      <w:r>
        <w:t xml:space="preserve">“</w:t>
      </w:r>
      <w:r>
        <w:t xml:space="preserve">重复发生 ≥2 次</w:t>
      </w:r>
      <w:r>
        <w:t xml:space="preserve">”</w:t>
      </w:r>
      <w:r>
        <w:t xml:space="preserve">及观察期（1～3 个月）为企业默认值，可按产品复杂程度调整：高风险行业建议</w:t>
      </w:r>
      <w:r>
        <w:t xml:space="preserve">“</w:t>
      </w:r>
      <w:r>
        <w:t xml:space="preserve">一次重大即启动</w:t>
      </w:r>
      <w:r>
        <w:t xml:space="preserve">”</w:t>
      </w:r>
      <w:r>
        <w:t xml:space="preserve">，低风险非关键问题可放宽为</w:t>
      </w:r>
      <w:r>
        <w:t xml:space="preserve">“</w:t>
      </w:r>
      <w:r>
        <w:t xml:space="preserve">一季度 ≥3 次再启动</w:t>
      </w:r>
      <w:r>
        <w:t xml:space="preserve">”</w:t>
      </w:r>
      <w:r>
        <w:t xml:space="preserve">，但判定准则应形成书面文件并在审核时能出示。</w:t>
      </w:r>
    </w:p>
    <w:p>
      <w:pPr>
        <w:pStyle w:val="FirstParagraph"/>
      </w:pPr>
      <w:r>
        <w:rPr>
          <w:b/>
        </w:rPr>
        <w:t xml:space="preserve">二、审核关注点</w:t>
      </w:r>
    </w:p>
    <w:p>
      <w:pPr>
        <w:numPr>
          <w:ilvl w:val="0"/>
          <w:numId w:val="1020"/>
        </w:numPr>
        <w:pStyle w:val="Compact"/>
      </w:pPr>
      <w:r>
        <w:t xml:space="preserve">外审员对 10.2 的核查几乎必做：抽取顾客投诉与审核不符合项，追查《纠正措施处理单》——重点看是否区分了</w:t>
      </w:r>
      <w:r>
        <w:t xml:space="preserve">“</w:t>
      </w:r>
      <w:r>
        <w:t xml:space="preserve">纠正</w:t>
      </w:r>
      <w:r>
        <w:t xml:space="preserve">”</w:t>
      </w:r>
      <w:r>
        <w:t xml:space="preserve">与</w:t>
      </w:r>
      <w:r>
        <w:t xml:space="preserve">“</w:t>
      </w:r>
      <w:r>
        <w:t xml:space="preserve">纠正措施</w:t>
      </w:r>
      <w:r>
        <w:t xml:space="preserve">”</w:t>
      </w:r>
      <w:r>
        <w:t xml:space="preserve">、原因分析是否到达根本原因、措施是否可验证、有无有效性验证记录及验证后的数据证据。</w:t>
      </w:r>
    </w:p>
    <w:p>
      <w:pPr>
        <w:numPr>
          <w:ilvl w:val="0"/>
          <w:numId w:val="1020"/>
        </w:numPr>
        <w:pStyle w:val="Compact"/>
      </w:pPr>
      <w:r>
        <w:t xml:space="preserve">常见追问：</w:t>
      </w:r>
      <w:r>
        <w:t xml:space="preserve">“</w:t>
      </w:r>
      <w:r>
        <w:t xml:space="preserve">这个不合格为什么没有开纠正措施？评价记录在哪？</w:t>
      </w:r>
      <w:r>
        <w:t xml:space="preserve">”</w:t>
      </w:r>
      <w:r>
        <w:t xml:space="preserve">“</w:t>
      </w:r>
      <w:r>
        <w:t xml:space="preserve">措施写’加强培训’，用什么证据证明培训有效？</w:t>
      </w:r>
      <w:r>
        <w:t xml:space="preserve">”</w:t>
      </w:r>
      <w:r>
        <w:t xml:space="preserve">“</w:t>
      </w:r>
      <w:r>
        <w:t xml:space="preserve">上次同类问题是什么时候，为什么又发生了？</w:t>
      </w:r>
      <w:r>
        <w:t xml:space="preserve">”</w:t>
      </w:r>
      <w:r>
        <w:t xml:space="preserve">“</w:t>
      </w:r>
      <w:r>
        <w:t xml:space="preserve">验证通过后 FMEA、控制计划、风险清单更新了吗？</w:t>
      </w:r>
      <w:r>
        <w:t xml:space="preserve">”</w:t>
      </w:r>
      <w:r>
        <w:t xml:space="preserve">——建议把</w:t>
      </w:r>
      <w:r>
        <w:t xml:space="preserve">“</w:t>
      </w:r>
      <w:r>
        <w:t xml:space="preserve">评价不采取措施的理由（管理者代表批准）</w:t>
      </w:r>
      <w:r>
        <w:t xml:space="preserve">”</w:t>
      </w:r>
      <w:r>
        <w:t xml:space="preserve">与</w:t>
      </w:r>
      <w:r>
        <w:t xml:space="preserve">“</w:t>
      </w:r>
      <w:r>
        <w:t xml:space="preserve">验证的数据对比表</w:t>
      </w:r>
      <w:r>
        <w:t xml:space="preserve">”</w:t>
      </w:r>
      <w:r>
        <w:t xml:space="preserve">作为必留证据，这两处是近年开出不符合项的高频点位。</w:t>
      </w:r>
    </w:p>
    <w:p>
      <w:pPr>
        <w:numPr>
          <w:ilvl w:val="0"/>
          <w:numId w:val="1020"/>
        </w:numPr>
        <w:pStyle w:val="Compact"/>
      </w:pPr>
      <w:r>
        <w:t xml:space="preserve">注意 10.2 与 8.7、9.1.3、9.3、10.3 的证据链：8.7 处置记录是 10.2 的输入，台账统计进数据分析，重复问题与措施完成率进管理评审输入，重大改进升入持续改进程序——外审会顺着这条链逐级核对，任何一环缺失都会导致</w:t>
      </w:r>
      <w:r>
        <w:t xml:space="preserve">“</w:t>
      </w:r>
      <w:r>
        <w:t xml:space="preserve">闭环不完整</w:t>
      </w:r>
      <w:r>
        <w:t xml:space="preserve">”</w:t>
      </w:r>
      <w:r>
        <w:t xml:space="preserve">的不符合。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21"/>
        </w:numPr>
        <w:pStyle w:val="Compact"/>
      </w:pPr>
      <w:r>
        <w:rPr>
          <w:b/>
        </w:rPr>
        <w:t xml:space="preserve">只纠正不分析</w:t>
      </w:r>
      <w:r>
        <w:t xml:space="preserve">：不合格返工完就了事，不开单、不分析原因，同类问题月月发生，台账上全是</w:t>
      </w:r>
      <w:r>
        <w:t xml:space="preserve">“</w:t>
      </w:r>
      <w:r>
        <w:t xml:space="preserve">已返工</w:t>
      </w:r>
      <w:r>
        <w:t xml:space="preserve">”</w:t>
      </w:r>
      <w:r>
        <w:t xml:space="preserve">——纠正措施程序的核心是</w:t>
      </w:r>
      <w:r>
        <w:t xml:space="preserve">“</w:t>
      </w:r>
      <w:r>
        <w:t xml:space="preserve">消除原因</w:t>
      </w:r>
      <w:r>
        <w:t xml:space="preserve">”</w:t>
      </w:r>
      <w:r>
        <w:t xml:space="preserve">，不是</w:t>
      </w:r>
      <w:r>
        <w:t xml:space="preserve">“</w:t>
      </w:r>
      <w:r>
        <w:t xml:space="preserve">处理完产品</w:t>
      </w:r>
      <w:r>
        <w:t xml:space="preserve">”</w:t>
      </w:r>
      <w:r>
        <w:t xml:space="preserve">。</w:t>
      </w:r>
    </w:p>
    <w:p>
      <w:pPr>
        <w:numPr>
          <w:ilvl w:val="0"/>
          <w:numId w:val="1021"/>
        </w:numPr>
        <w:pStyle w:val="Compact"/>
      </w:pPr>
      <w:r>
        <w:rPr>
          <w:b/>
        </w:rPr>
        <w:t xml:space="preserve">原因停在表面</w:t>
      </w:r>
      <w:r>
        <w:t xml:space="preserve">：把</w:t>
      </w:r>
      <w:r>
        <w:t xml:space="preserve">“</w:t>
      </w:r>
      <w:r>
        <w:t xml:space="preserve">员工疏忽、操作不当</w:t>
      </w:r>
      <w:r>
        <w:t xml:space="preserve">”</w:t>
      </w:r>
      <w:r>
        <w:t xml:space="preserve">当根本原因，措施写</w:t>
      </w:r>
      <w:r>
        <w:t xml:space="preserve">“</w:t>
      </w:r>
      <w:r>
        <w:t xml:space="preserve">加强培训、加强检验、提高质量意识</w:t>
      </w:r>
      <w:r>
        <w:t xml:space="preserve">”</w:t>
      </w:r>
      <w:r>
        <w:t xml:space="preserve">，既无法验证也无法防止再发——应追问到</w:t>
      </w:r>
      <w:r>
        <w:t xml:space="preserve">“</w:t>
      </w:r>
      <w:r>
        <w:t xml:space="preserve">为什么会产生疏忽的条件</w:t>
      </w:r>
      <w:r>
        <w:t xml:space="preserve">”</w:t>
      </w:r>
      <w:r>
        <w:t xml:space="preserve">，用防错、文件、工艺手段从系统上解决。</w:t>
      </w:r>
    </w:p>
    <w:p>
      <w:pPr>
        <w:numPr>
          <w:ilvl w:val="0"/>
          <w:numId w:val="1021"/>
        </w:numPr>
        <w:pStyle w:val="Compact"/>
      </w:pPr>
      <w:r>
        <w:rPr>
          <w:b/>
        </w:rPr>
        <w:t xml:space="preserve">措施与原因脱节</w:t>
      </w:r>
      <w:r>
        <w:t xml:space="preserve">：原因分析写</w:t>
      </w:r>
      <w:r>
        <w:t xml:space="preserve">“</w:t>
      </w:r>
      <w:r>
        <w:t xml:space="preserve">设备老化</w:t>
      </w:r>
      <w:r>
        <w:t xml:space="preserve">”</w:t>
      </w:r>
      <w:r>
        <w:t xml:space="preserve">，措施却是</w:t>
      </w:r>
      <w:r>
        <w:t xml:space="preserve">“</w:t>
      </w:r>
      <w:r>
        <w:t xml:space="preserve">对员工再培训</w:t>
      </w:r>
      <w:r>
        <w:t xml:space="preserve">”</w:t>
      </w:r>
      <w:r>
        <w:t xml:space="preserve">；原因与措施对不上，验证自然无法通过，审核时一眼即穿。</w:t>
      </w:r>
    </w:p>
    <w:p>
      <w:pPr>
        <w:numPr>
          <w:ilvl w:val="0"/>
          <w:numId w:val="1021"/>
        </w:numPr>
        <w:pStyle w:val="Compact"/>
      </w:pPr>
      <w:r>
        <w:rPr>
          <w:b/>
        </w:rPr>
        <w:t xml:space="preserve">验证走过场</w:t>
      </w:r>
      <w:r>
        <w:t xml:space="preserve">：措施实施当天就写</w:t>
      </w:r>
      <w:r>
        <w:t xml:space="preserve">“</w:t>
      </w:r>
      <w:r>
        <w:t xml:space="preserve">验证有效</w:t>
      </w:r>
      <w:r>
        <w:t xml:space="preserve">”</w:t>
      </w:r>
      <w:r>
        <w:t xml:space="preserve">，没有任何数据对比或现场证据；或只验证</w:t>
      </w:r>
      <w:r>
        <w:t xml:space="preserve">“</w:t>
      </w:r>
      <w:r>
        <w:t xml:space="preserve">做了没有</w:t>
      </w:r>
      <w:r>
        <w:t xml:space="preserve">”</w:t>
      </w:r>
      <w:r>
        <w:t xml:space="preserve">（查培训签到表），不验证</w:t>
      </w:r>
      <w:r>
        <w:t xml:space="preserve">“</w:t>
      </w:r>
      <w:r>
        <w:t xml:space="preserve">有没有用</w:t>
      </w:r>
      <w:r>
        <w:t xml:space="preserve">”</w:t>
      </w:r>
      <w:r>
        <w:t xml:space="preserve">（查不良率是否下降）。</w:t>
      </w:r>
    </w:p>
    <w:p>
      <w:pPr>
        <w:numPr>
          <w:ilvl w:val="0"/>
          <w:numId w:val="1021"/>
        </w:numPr>
        <w:pStyle w:val="Compact"/>
      </w:pPr>
      <w:r>
        <w:rPr>
          <w:b/>
        </w:rPr>
        <w:t xml:space="preserve">该开单不开、不该开乱开</w:t>
      </w:r>
      <w:r>
        <w:t xml:space="preserve">：轻微问题一律不开单导致重大隐患漏网，或所有小问题都开单导致处理单泛滥、关键问题被淹没——应严格执行 4.3 的启动准则并保留评价记录。</w:t>
      </w:r>
    </w:p>
    <w:p>
      <w:pPr>
        <w:numPr>
          <w:ilvl w:val="0"/>
          <w:numId w:val="1021"/>
        </w:numPr>
        <w:pStyle w:val="Compact"/>
      </w:pPr>
      <w:r>
        <w:rPr>
          <w:b/>
        </w:rPr>
        <w:t xml:space="preserve">记录时间逻辑矛盾</w:t>
      </w:r>
      <w:r>
        <w:t xml:space="preserve">：处理单上验证日期早于措施完成日期、台账登记日期晚于处理单开具日期等，被外审认定记录失真；应坚持</w:t>
      </w:r>
      <w:r>
        <w:t xml:space="preserve">“</w:t>
      </w:r>
      <w:r>
        <w:t xml:space="preserve">先登记、再分析、后开单、按期验证</w:t>
      </w:r>
      <w:r>
        <w:t xml:space="preserve">”</w:t>
      </w:r>
      <w:r>
        <w:t xml:space="preserve">的时间顺序，杜绝后补单据。</w:t>
      </w:r>
    </w:p>
    <w:p>
      <w:pPr>
        <w:numPr>
          <w:ilvl w:val="0"/>
          <w:numId w:val="1021"/>
        </w:numPr>
        <w:pStyle w:val="Compact"/>
      </w:pPr>
      <w:r>
        <w:rPr>
          <w:b/>
        </w:rPr>
        <w:t xml:space="preserve">与 8.7 混淆</w:t>
      </w:r>
      <w:r>
        <w:t xml:space="preserve">：把《不合格品控制程序》的处置记录直接充当纠正措施证据——处置是</w:t>
      </w:r>
      <w:r>
        <w:t xml:space="preserve">“</w:t>
      </w:r>
      <w:r>
        <w:t xml:space="preserve">纠正</w:t>
      </w:r>
      <w:r>
        <w:t xml:space="preserve">”</w:t>
      </w:r>
      <w:r>
        <w:t xml:space="preserve">，只能证明这批产品处理了，不能证明原因消除了；两者必须同时存在、互为补充。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纠正措施真闭环，重复问题才断根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2026-09-12T10:35:36Z</dcterms:created>
  <dcterms:modified xsi:type="dcterms:W3CDTF">2026-09-12T10:35:36Z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