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33计量器具校准与期间核查作业指导书"/>
      <w:r>
        <w:t xml:space="preserve">ISO9001体系文件套包（33）｜计量器具校准与期间核查作业指导书</w:t>
      </w:r>
      <w:bookmarkEnd w:id="20"/>
    </w:p>
    <w:p>
      <w:pPr>
        <w:pStyle w:val="FirstParagraph"/>
      </w:pPr>
      <w:r>
        <w:rPr>
          <w:b/>
        </w:rPr>
        <w:t xml:space="preserve">文件说明</w:t>
      </w:r>
      <w:r>
        <w:t xml:space="preserve">：本指导书是《监视和测量资源控制程序》（套包第 10 篇）的下一层级配套文件，属于质量管理体系三级文件（作业指导书），用于把标准 7.1.5.2 条款</w:t>
      </w:r>
      <w:r>
        <w:t xml:space="preserve">“</w:t>
      </w:r>
      <w:r>
        <w:t xml:space="preserve">测量溯源性</w:t>
      </w:r>
      <w:r>
        <w:t xml:space="preserve">”</w:t>
      </w:r>
      <w:r>
        <w:t xml:space="preserve">的要求落到计量器具的日常操作层面。它与二级程序文件的区别在于：程序文件回答</w:t>
      </w:r>
      <w:r>
        <w:t xml:space="preserve">“</w:t>
      </w:r>
      <w:r>
        <w:t xml:space="preserve">谁管、管什么、按什么流程管</w:t>
      </w:r>
      <w:r>
        <w:t xml:space="preserve">”</w:t>
      </w:r>
      <w:r>
        <w:t xml:space="preserve">，本指导书回答</w:t>
      </w:r>
      <w:r>
        <w:t xml:space="preserve">“</w:t>
      </w:r>
      <w:r>
        <w:t xml:space="preserve">具体怎么编号、怎么写台账、校准周期怎么定、校准证书怎么确认、两次校准之间怎么用期间核查兜住量值</w:t>
      </w:r>
      <w:r>
        <w:t xml:space="preserve">”</w:t>
      </w:r>
      <w:r>
        <w:t xml:space="preserve">。适用于所有使用卡尺、千分尺、塞规、量块、温度计、压力表、天平、硬度计、电参数测量仪、专用检具等器具开展检验和试验的企业；对设备上固定安装、仅用于工艺监控而不用作产品符合性判定的指示仪表，可按本指导书第 4.1 条的分类准则界定后简化管理。本文件可直接作为企业三级文件发布使用，使用时把组织名称、部门代码、器具类别代换为自身实际即可。</w:t>
      </w:r>
    </w:p>
    <w:p>
      <w:pPr>
        <w:pStyle w:val="Heading2"/>
      </w:pPr>
      <w:bookmarkStart w:id="21" w:name="一目的"/>
      <w:r>
        <w:t xml:space="preserve">一、目的</w:t>
      </w:r>
      <w:bookmarkEnd w:id="21"/>
    </w:p>
    <w:p>
      <w:pPr>
        <w:pStyle w:val="FirstParagraph"/>
      </w:pPr>
      <w:r>
        <w:t xml:space="preserve">为规范本公司计量器具（含量具、检具、试验设备、标准器及其他测量仪器，以下统称计量器具）的编号、台账、校准、计量确认、标识、期间核查、失准追溯与报废全过程管理，确保：</w:t>
      </w:r>
    </w:p>
    <w:p>
      <w:pPr>
        <w:numPr>
          <w:ilvl w:val="0"/>
          <w:numId w:val="1001"/>
        </w:numPr>
        <w:pStyle w:val="Compact"/>
      </w:pPr>
      <w:r>
        <w:t xml:space="preserve">计量器具的量值能够通过不间断的比较链溯源到国家计量基准或国际计量基准，测量结果具有可比性和法律效力；</w:t>
      </w:r>
    </w:p>
    <w:p>
      <w:pPr>
        <w:numPr>
          <w:ilvl w:val="0"/>
          <w:numId w:val="1001"/>
        </w:numPr>
        <w:pStyle w:val="Compact"/>
      </w:pPr>
      <w:r>
        <w:t xml:space="preserve">用于产品符合性验证的计量器具在使用前及使用过程中均处于校准有效状态，其最大允许误差满足被测特性的公差要求（测量能力充分）；</w:t>
      </w:r>
    </w:p>
    <w:p>
      <w:pPr>
        <w:numPr>
          <w:ilvl w:val="0"/>
          <w:numId w:val="1001"/>
        </w:numPr>
        <w:pStyle w:val="Compact"/>
      </w:pPr>
      <w:r>
        <w:t xml:space="preserve">两次校准之间的量值漂移风险得到识别与控制，防止因器具失准造成漏检、误判、错放行；</w:t>
      </w:r>
    </w:p>
    <w:p>
      <w:pPr>
        <w:numPr>
          <w:ilvl w:val="0"/>
          <w:numId w:val="1001"/>
        </w:numPr>
        <w:pStyle w:val="Compact"/>
      </w:pPr>
      <w:r>
        <w:t xml:space="preserve">校准与核查的记录可追溯、可查阅、可复现，满足 ISO 9001:2015 第 7.1.5 条及第 7.5.3 条的要求。</w:t>
      </w:r>
    </w:p>
    <w:p>
      <w:pPr>
        <w:pStyle w:val="Heading2"/>
      </w:pPr>
      <w:bookmarkStart w:id="22" w:name="二适用范围"/>
      <w:r>
        <w:t xml:space="preserve">二、适用范围</w:t>
      </w:r>
      <w:bookmarkEnd w:id="22"/>
    </w:p>
    <w:p>
      <w:pPr>
        <w:pStyle w:val="FirstParagraph"/>
      </w:pPr>
      <w:r>
        <w:t xml:space="preserve">2.1 本指导书适用于本公司所有列入计量器具台账的测量设备的全过程管理，包括：</w:t>
      </w:r>
    </w:p>
    <w:p>
      <w:pPr>
        <w:numPr>
          <w:ilvl w:val="0"/>
          <w:numId w:val="1002"/>
        </w:numPr>
        <w:pStyle w:val="Compact"/>
      </w:pPr>
      <w:r>
        <w:t xml:space="preserve">通用量具：游标卡尺、千分尺、高度尺、深度尺、内径量表、塞尺、塞规、螺纹量规、半径规、直角尺、水平仪；</w:t>
      </w:r>
    </w:p>
    <w:p>
      <w:pPr>
        <w:numPr>
          <w:ilvl w:val="0"/>
          <w:numId w:val="1002"/>
        </w:numPr>
        <w:pStyle w:val="Compact"/>
      </w:pPr>
      <w:r>
        <w:t xml:space="preserve">标准器：量块、标准环规、标准球、砝码、标准电阻、标准电池、标准铂电阻、扭力校准仪、专用校准工装；</w:t>
      </w:r>
    </w:p>
    <w:p>
      <w:pPr>
        <w:numPr>
          <w:ilvl w:val="0"/>
          <w:numId w:val="1002"/>
        </w:numPr>
        <w:pStyle w:val="Compact"/>
      </w:pPr>
      <w:r>
        <w:t xml:space="preserve">试验与检测设备：拉力试验机、硬度计、冲击试验机、绝缘耐压测试仪、耐压仪、绝缘电阻测试仪、接地导通测试仪、万用表、钳形电流表、示波器、电源、温度记录仪、恒温恒湿箱、电子天平、压力表与压力变送器、流量计、转速表、噪声计、照度计；</w:t>
      </w:r>
    </w:p>
    <w:p>
      <w:pPr>
        <w:numPr>
          <w:ilvl w:val="0"/>
          <w:numId w:val="1002"/>
        </w:numPr>
        <w:pStyle w:val="Compact"/>
      </w:pPr>
      <w:r>
        <w:t xml:space="preserve">专用检具与工装：位置度检具、同轴度检具、塞规式通止规、高度检具、花键检具、气动量仪及其标准件。</w:t>
      </w:r>
    </w:p>
    <w:p>
      <w:pPr>
        <w:pStyle w:val="FirstParagraph"/>
      </w:pPr>
      <w:r>
        <w:t xml:space="preserve">2.2 下列器具按本指导书第 4.1 条的分类准则判定，若不用作产品符合性判定，可只做首次验收与功能确认，不纳入周期性校准，但必须在台账中注明类别为 C 类并说明理由：</w:t>
      </w:r>
    </w:p>
    <w:p>
      <w:pPr>
        <w:numPr>
          <w:ilvl w:val="0"/>
          <w:numId w:val="1003"/>
        </w:numPr>
        <w:pStyle w:val="Compact"/>
      </w:pPr>
      <w:r>
        <w:t xml:space="preserve">仅用于设备运转状态监视的指示仪表（如无准确度要求的油压表、水压表、气缸压力表）；</w:t>
      </w:r>
    </w:p>
    <w:p>
      <w:pPr>
        <w:numPr>
          <w:ilvl w:val="0"/>
          <w:numId w:val="1003"/>
        </w:numPr>
        <w:pStyle w:val="Compact"/>
      </w:pPr>
      <w:r>
        <w:t xml:space="preserve">仅用于对刀、定位或工艺参考的简易样板、划线工具；</w:t>
      </w:r>
    </w:p>
    <w:p>
      <w:pPr>
        <w:numPr>
          <w:ilvl w:val="0"/>
          <w:numId w:val="1003"/>
        </w:numPr>
        <w:pStyle w:val="Compact"/>
      </w:pPr>
      <w:r>
        <w:t xml:space="preserve">仅作定性判断的器具（如磁铁、放大镜、检漏液）。</w:t>
      </w:r>
    </w:p>
    <w:p>
      <w:pPr>
        <w:pStyle w:val="FirstParagraph"/>
      </w:pPr>
      <w:r>
        <w:t xml:space="preserve">2.3 客户或法规对特定器具的校准要求严于本指导书时，从其规定；客户提供或借用、指定使用的计量器具，按《顾客财产控制程序》登记后同样纳入本指导书管理。</w:t>
      </w:r>
    </w:p>
    <w:p>
      <w:pPr>
        <w:pStyle w:val="Heading2"/>
      </w:pPr>
      <w:bookmarkStart w:id="23" w:name="三职责"/>
      <w:r>
        <w:t xml:space="preserve">三、职责</w:t>
      </w:r>
      <w:bookmarkEnd w:id="23"/>
    </w:p>
    <w:p>
      <w:pPr>
        <w:pStyle w:val="FirstParagraph"/>
      </w:pPr>
      <w:r>
        <w:t xml:space="preserve">3.1 品质部（计量管理岗）为本指导书的主管部门，负责：建立与维护全公司计量器具台账；拟制器具编号规则与类别判定；编制年度校准计划与月度实施明细；选择并评价外部校准机构；组织内校人员资格认定与内校实施；审核校准证书并完成计量确认；编制期间核查计划并组织核查；管理器具状态标识；组织失准追溯与处置；保存全部计量记录。</w:t>
      </w:r>
    </w:p>
    <w:p>
      <w:pPr>
        <w:pStyle w:val="BodyText"/>
      </w:pPr>
      <w:r>
        <w:t xml:space="preserve">3.2 使用部门负责：提出计量器具的申购需求与技术参数（量程、分辨力、最大允许误差）；按标识与有效期限使用器具；发现超期、损坏、示值异常时立即停止使用并隔离送修；配合完成期间核查与失准追溯；负责本部门器具的日常保管、清洁与防护。</w:t>
      </w:r>
    </w:p>
    <w:p>
      <w:pPr>
        <w:pStyle w:val="BodyText"/>
      </w:pPr>
      <w:r>
        <w:t xml:space="preserve">3.3 采购部负责：按技术要求选择有资质的外部校准服务机构和器具供应商；签订采购与校准服务合同，索取资质证明与校准证书；跟踪校准服务的交期与发票结算。</w:t>
      </w:r>
    </w:p>
    <w:p>
      <w:pPr>
        <w:pStyle w:val="BodyText"/>
      </w:pPr>
      <w:r>
        <w:t xml:space="preserve">3.4 设备部（或技术部）负责：参与专用检具、在线测量装置的技术方案评审；负责在线测量装置的安装、改装与故障维修；配合完成测量系统分析（MSA）中涉及设备侧的整改。</w:t>
      </w:r>
    </w:p>
    <w:p>
      <w:pPr>
        <w:pStyle w:val="BodyText"/>
      </w:pPr>
      <w:r>
        <w:t xml:space="preserve">3.5 管理者代表负责：批准年度校准计划、期间核查计划；批准不具备资质的临时校准方案；在发生失准导致产品风险时，组织评审召回或追回决策。</w:t>
      </w:r>
    </w:p>
    <w:p>
      <w:pPr>
        <w:pStyle w:val="BodyText"/>
      </w:pPr>
      <w:r>
        <w:t xml:space="preserve">3.6 内校人员必须经培训考核合格并取得内部校准资格授权（见《员工培训作业指导书》）；每项内校作业至少有两名经授权人员，避免关键岗位单点失效。</w:t>
      </w:r>
    </w:p>
    <w:p>
      <w:pPr>
        <w:pStyle w:val="Heading2"/>
      </w:pPr>
      <w:bookmarkStart w:id="24" w:name="四工作程序"/>
      <w:r>
        <w:t xml:space="preserve">四、工作程序</w:t>
      </w:r>
      <w:bookmarkEnd w:id="24"/>
    </w:p>
    <w:p>
      <w:pPr>
        <w:pStyle w:val="Heading3"/>
      </w:pPr>
      <w:bookmarkStart w:id="25" w:name="计量器具分类与台账管理"/>
      <w:r>
        <w:t xml:space="preserve">4.1 计量器具分类与台账管理</w:t>
      </w:r>
      <w:bookmarkEnd w:id="25"/>
    </w:p>
    <w:p>
      <w:pPr>
        <w:pStyle w:val="FirstParagraph"/>
      </w:pPr>
      <w:r>
        <w:t xml:space="preserve">4.1.1 器具分类准则（按对产品符合性的影响程度）：</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类别</w:t>
            </w:r>
          </w:p>
        </w:tc>
        <w:tc>
          <w:tcPr>
            <w:tcBorders>
              <w:bottom w:val="single"/>
            </w:tcBorders>
            <w:vAlign w:val="bottom"/>
          </w:tcPr>
          <w:p>
            <w:pPr>
              <w:pStyle w:val="Compact"/>
              <w:jc w:val="left"/>
            </w:pPr>
            <w:r>
              <w:t xml:space="preserve">判定依据</w:t>
            </w:r>
          </w:p>
        </w:tc>
        <w:tc>
          <w:tcPr>
            <w:tcBorders>
              <w:bottom w:val="single"/>
            </w:tcBorders>
            <w:vAlign w:val="bottom"/>
          </w:tcPr>
          <w:p>
            <w:pPr>
              <w:pStyle w:val="Compact"/>
              <w:jc w:val="left"/>
            </w:pPr>
            <w:r>
              <w:t xml:space="preserve">典型器具</w:t>
            </w:r>
          </w:p>
        </w:tc>
        <w:tc>
          <w:tcPr>
            <w:tcBorders>
              <w:bottom w:val="single"/>
            </w:tcBorders>
            <w:vAlign w:val="bottom"/>
          </w:tcPr>
          <w:p>
            <w:pPr>
              <w:pStyle w:val="Compact"/>
              <w:jc w:val="left"/>
            </w:pPr>
            <w:r>
              <w:t xml:space="preserve">管理要求</w:t>
            </w:r>
          </w:p>
        </w:tc>
      </w:tr>
      <w:tr>
        <w:tc>
          <w:p>
            <w:pPr>
              <w:pStyle w:val="Compact"/>
              <w:jc w:val="left"/>
            </w:pPr>
            <w:r>
              <w:t xml:space="preserve">A 类</w:t>
            </w:r>
          </w:p>
        </w:tc>
        <w:tc>
          <w:p>
            <w:pPr>
              <w:pStyle w:val="Compact"/>
              <w:jc w:val="left"/>
            </w:pPr>
            <w:r>
              <w:t xml:space="preserve">用于产品关键特性（安全、法规、客户重点特性）符合性判定；对测量结果准确度要求高、使用频繁、易受磨损</w:t>
            </w:r>
          </w:p>
        </w:tc>
        <w:tc>
          <w:p>
            <w:pPr>
              <w:pStyle w:val="Compact"/>
              <w:jc w:val="left"/>
            </w:pPr>
            <w:r>
              <w:t xml:space="preserve">三坐标、影像仪、专用检具、量块、标准砝码、耐压/绝缘测试仪、电子天平</w:t>
            </w:r>
          </w:p>
        </w:tc>
        <w:tc>
          <w:p>
            <w:pPr>
              <w:pStyle w:val="Compact"/>
              <w:jc w:val="left"/>
            </w:pPr>
            <w:r>
              <w:t xml:space="preserve">强制周期校准，周期不超过 12 个月，必要时 6 个月；纳入期间核查计划</w:t>
            </w:r>
          </w:p>
        </w:tc>
      </w:tr>
      <w:tr>
        <w:tc>
          <w:p>
            <w:pPr>
              <w:pStyle w:val="Compact"/>
              <w:jc w:val="left"/>
            </w:pPr>
            <w:r>
              <w:t xml:space="preserve">B 类</w:t>
            </w:r>
          </w:p>
        </w:tc>
        <w:tc>
          <w:p>
            <w:pPr>
              <w:pStyle w:val="Compact"/>
              <w:jc w:val="left"/>
            </w:pPr>
            <w:r>
              <w:t xml:space="preserve">用于产品一般特性判定；准确度要求中等，磨损较慢</w:t>
            </w:r>
          </w:p>
        </w:tc>
        <w:tc>
          <w:p>
            <w:pPr>
              <w:pStyle w:val="Compact"/>
              <w:jc w:val="left"/>
            </w:pPr>
            <w:r>
              <w:t xml:space="preserve">游标卡尺、千分尺、塞规、硬度计、拉力试验机、万用表、压力表</w:t>
            </w:r>
          </w:p>
        </w:tc>
        <w:tc>
          <w:p>
            <w:pPr>
              <w:pStyle w:val="Compact"/>
              <w:jc w:val="left"/>
            </w:pPr>
            <w:r>
              <w:t xml:space="preserve">强制周期校准，周期一般 12 个月；抽选纳入期间核查</w:t>
            </w:r>
          </w:p>
        </w:tc>
      </w:tr>
      <w:tr>
        <w:tc>
          <w:p>
            <w:pPr>
              <w:pStyle w:val="Compact"/>
              <w:jc w:val="left"/>
            </w:pPr>
            <w:r>
              <w:t xml:space="preserve">C 类</w:t>
            </w:r>
          </w:p>
        </w:tc>
        <w:tc>
          <w:p>
            <w:pPr>
              <w:pStyle w:val="Compact"/>
              <w:jc w:val="left"/>
            </w:pPr>
            <w:r>
              <w:t xml:space="preserve">不作产品符合性判定，仅作工艺参考或状态指示</w:t>
            </w:r>
          </w:p>
        </w:tc>
        <w:tc>
          <w:p>
            <w:pPr>
              <w:pStyle w:val="Compact"/>
              <w:jc w:val="left"/>
            </w:pPr>
            <w:r>
              <w:t xml:space="preserve">油压表、划线样板、定性工具</w:t>
            </w:r>
          </w:p>
        </w:tc>
        <w:tc>
          <w:p>
            <w:pPr>
              <w:pStyle w:val="Compact"/>
              <w:jc w:val="left"/>
            </w:pPr>
            <w:r>
              <w:t xml:space="preserve">首次验收确认，不周期校准；台账注明，标识</w:t>
            </w:r>
            <w:r>
              <w:t xml:space="preserve">“</w:t>
            </w:r>
            <w:r>
              <w:t xml:space="preserve">参考用</w:t>
            </w:r>
            <w:r>
              <w:t xml:space="preserve">”</w:t>
            </w:r>
          </w:p>
        </w:tc>
      </w:tr>
    </w:tbl>
    <w:p>
      <w:pPr>
        <w:pStyle w:val="BodyText"/>
      </w:pPr>
      <w:r>
        <w:t xml:space="preserve">4.1.2 分类由品质部在器具入厂验收时判定并登记，类别变更须由品质部填写《计量器具类别变更说明》并经管理者代表批准。</w:t>
      </w:r>
    </w:p>
    <w:p>
      <w:pPr>
        <w:pStyle w:val="BodyText"/>
      </w:pPr>
      <w:r>
        <w:t xml:space="preserve">4.1.3 编号规则：</w:t>
      </w:r>
      <w:r>
        <w:rPr>
          <w:rStyle w:val="VerbatimChar"/>
        </w:rPr>
        <w:t xml:space="preserve">类别代码-部门代码-流水号</w:t>
      </w:r>
      <w:r>
        <w:t xml:space="preserve">，例如</w:t>
      </w:r>
      <w:r>
        <w:t xml:space="preserve"> </w:t>
      </w:r>
      <w:r>
        <w:rPr>
          <w:rStyle w:val="VerbatimChar"/>
        </w:rPr>
        <w:t xml:space="preserve">JC-PZ-001</w:t>
      </w:r>
      <w:r>
        <w:t xml:space="preserve"> </w:t>
      </w:r>
      <w:r>
        <w:t xml:space="preserve">表示品质部第 001 号通用量具；</w:t>
      </w:r>
      <w:r>
        <w:rPr>
          <w:rStyle w:val="VerbatimChar"/>
        </w:rPr>
        <w:t xml:space="preserve">BZ-JS-002</w:t>
      </w:r>
      <w:r>
        <w:t xml:space="preserve"> </w:t>
      </w:r>
      <w:r>
        <w:t xml:space="preserve">表示技术部第 002 号标准器。流水号一旦启用不得重复使用，器具报废后其编号永久封存，不得转配给其他器具。</w:t>
      </w:r>
    </w:p>
    <w:p>
      <w:pPr>
        <w:pStyle w:val="BodyText"/>
      </w:pPr>
      <w:r>
        <w:t xml:space="preserve">4.1.4 计量器具台账（QR-7.1.5-01《计量器具台账》）应逐年复审，每季度与实物核对一次，核对结果记录在台账</w:t>
      </w:r>
      <w:r>
        <w:t xml:space="preserve">“</w:t>
      </w:r>
      <w:r>
        <w:t xml:space="preserve">核对记录</w:t>
      </w:r>
      <w:r>
        <w:t xml:space="preserve">”</w:t>
      </w:r>
      <w:r>
        <w:t xml:space="preserve">栏。台账须包含字段见第 4.10 条表单清单。</w:t>
      </w:r>
    </w:p>
    <w:p>
      <w:pPr>
        <w:pStyle w:val="Heading3"/>
      </w:pPr>
      <w:bookmarkStart w:id="26" w:name="校准方式与周期确定"/>
      <w:r>
        <w:t xml:space="preserve">4.2 校准方式与周期确定</w:t>
      </w:r>
      <w:bookmarkEnd w:id="26"/>
    </w:p>
    <w:p>
      <w:pPr>
        <w:pStyle w:val="FirstParagraph"/>
      </w:pPr>
      <w:r>
        <w:t xml:space="preserve">4.2.1 校准方式分为外校、内校、免校三种：</w:t>
      </w:r>
    </w:p>
    <w:p>
      <w:pPr>
        <w:numPr>
          <w:ilvl w:val="0"/>
          <w:numId w:val="1004"/>
        </w:numPr>
        <w:pStyle w:val="Compact"/>
      </w:pPr>
      <w:r>
        <w:rPr>
          <w:b/>
        </w:rPr>
        <w:t xml:space="preserve">外校</w:t>
      </w:r>
      <w:r>
        <w:t xml:space="preserve">：适用于下列器具——A 类器具；企业不具备标准器或环境的项目；法规要求强制检定的计量器具（如压力表、电子秤、天平、扭矩扳手等列入强制检定目录的项目，应按《计量法》规定送法定计量技术机构或经批准的机构检定）；客户或体系要求提供第三方证书的项目。</w:t>
      </w:r>
    </w:p>
    <w:p>
      <w:pPr>
        <w:numPr>
          <w:ilvl w:val="0"/>
          <w:numId w:val="1004"/>
        </w:numPr>
        <w:pStyle w:val="Compact"/>
      </w:pPr>
      <w:r>
        <w:rPr>
          <w:b/>
        </w:rPr>
        <w:t xml:space="preserve">内校</w:t>
      </w:r>
      <w:r>
        <w:t xml:space="preserve">：适用于企业已配备相应标准器、具备符合要求的温度/湿度/振动环境、并有经授权内校人员的项目，如通用量具（卡尺、千分尺）、塞规、简易检具。内校必须编制专项内校规范（可依 JJG/JJF 相应规程简化），明确标准器、环境条件、校准点、数据记录格式与判定准则。</w:t>
      </w:r>
    </w:p>
    <w:p>
      <w:pPr>
        <w:numPr>
          <w:ilvl w:val="0"/>
          <w:numId w:val="1004"/>
        </w:numPr>
        <w:pStyle w:val="Compact"/>
      </w:pPr>
      <w:r>
        <w:rPr>
          <w:b/>
        </w:rPr>
        <w:t xml:space="preserve">免校</w:t>
      </w:r>
      <w:r>
        <w:t xml:space="preserve">：仅适用于 C 类器具，须在台账注明</w:t>
      </w:r>
      <w:r>
        <w:t xml:space="preserve">“</w:t>
      </w:r>
      <w:r>
        <w:t xml:space="preserve">免校（非产品符合性判定用）</w:t>
      </w:r>
      <w:r>
        <w:t xml:space="preserve">”</w:t>
      </w:r>
      <w:r>
        <w:t xml:space="preserve">。</w:t>
      </w:r>
    </w:p>
    <w:p>
      <w:pPr>
        <w:pStyle w:val="FirstParagraph"/>
      </w:pPr>
      <w:r>
        <w:t xml:space="preserve">4.2.2 外部校准机构的选择与评价：须查验其法定资质（CMA/CNAS 认可证书或法定计量机构资质）、认可的能力范围（校准项目及量程是否覆盖本公司器具）、认可证书有效期、服务响应与交付能力、往来差错记录。评价结论填入《外部校准机构评价表》，合格者列入《合格校准机构名录》，每年复审一次；出现出具虚假数据、量程不覆盖、证书信息错误等情形时立即暂停并重新评价。</w:t>
      </w:r>
    </w:p>
    <w:p>
      <w:pPr>
        <w:pStyle w:val="BodyText"/>
      </w:pPr>
      <w:r>
        <w:t xml:space="preserve">4.2.3 校准周期按下列因素综合确定：器具类别与对产品的影响程度；使用频次与环境（温度、湿度、粉尘、振动、腐蚀）；器具制造商建议；历史校准数据的漂移趋势；同型器具的失准频次；客户与法规要求。初始周期可按 A 类 6～12 个月、B 类 12 个月、C 类免校设定。</w:t>
      </w:r>
    </w:p>
    <w:p>
      <w:pPr>
        <w:pStyle w:val="BodyText"/>
      </w:pPr>
      <w:r>
        <w:t xml:space="preserve">4.2.4 校准周期的调整：连续两次校准结果均为合格且示值误差稳定在最大允许误差的 1/3 以内时，可申请延长周期（每次最长延长不超过原周期的 50%）；出现下列情形之一时必须缩短周期——连续两次校准结果接近最大允许误差；期间核查出现异常；发生过校准失准追溯；器具使用环境恶劣或使用频繁。周期变更由品质部提出，管理者代表批准，台账中记录变更日期与原因。</w:t>
      </w:r>
    </w:p>
    <w:p>
      <w:pPr>
        <w:pStyle w:val="Heading3"/>
      </w:pPr>
      <w:bookmarkStart w:id="27" w:name="校准计划的编制与实施"/>
      <w:r>
        <w:t xml:space="preserve">4.3 校准计划的编制与实施</w:t>
      </w:r>
      <w:bookmarkEnd w:id="27"/>
    </w:p>
    <w:p>
      <w:pPr>
        <w:pStyle w:val="FirstParagraph"/>
      </w:pPr>
      <w:r>
        <w:t xml:space="preserve">4.3.1 品质部每年 12 月编制下年度《年度计量器具校准计划》（QR-7.1.5-02），内容包含：器具编号、名称、型号规格、测量范围、准确度等级或最大允许误差、使用部门、校准方式、校准机构、上次校准日期与有效期、计划校准月份。</w:t>
      </w:r>
    </w:p>
    <w:p>
      <w:pPr>
        <w:pStyle w:val="BodyText"/>
      </w:pPr>
      <w:r>
        <w:t xml:space="preserve">4.3.2 计划编制须留足缓冲时间：外校器具应在有效期满前 30 个工作日提出送校申请，内校器具应在有效期满前 10 个工作日安排；对需要连续使用的关键器具，应提前准备备用器具或安排在停机检修期校准。</w:t>
      </w:r>
    </w:p>
    <w:p>
      <w:pPr>
        <w:pStyle w:val="BodyText"/>
      </w:pPr>
      <w:r>
        <w:t xml:space="preserve">4.3.3 月度实施：品质部于每月 25 日前编制下月《计量器具校准实施明细》，明确送校清单、送校日期、取回日期、责任人，并通知使用部门按期限移交器具。</w:t>
      </w:r>
    </w:p>
    <w:p>
      <w:pPr>
        <w:pStyle w:val="BodyText"/>
      </w:pPr>
      <w:r>
        <w:t xml:space="preserve">4.3.4 送校前处理：清洁器具表面与测量面；检查外观、活动部件与零位；填写《送校委托单》，注明委托项目（校准或检定）、校准点或量程、判定准则、证书要求（是否需给出不确定度、是否需出具符合性结论）；包装防震，必要时随附标准件或专用工装。取回时核对证书信息与实物编号一致，防止器具互换错配。</w:t>
      </w:r>
    </w:p>
    <w:p>
      <w:pPr>
        <w:pStyle w:val="BodyText"/>
      </w:pPr>
      <w:r>
        <w:t xml:space="preserve">4.3.5 内校实施：按专项内校规范执行，全过程至少两人参与（一人操作、一人复核），环境条件（温度、湿度、标准器与被校件等温时间）须在校准记录中如实记载。标准器的准确度等级应比被校器具高三倍以上，或不确定度不大于被校器具最大允许误差的 1/3。</w:t>
      </w:r>
    </w:p>
    <w:p>
      <w:pPr>
        <w:pStyle w:val="Heading3"/>
      </w:pPr>
      <w:bookmarkStart w:id="28" w:name="校准结果确认计量确认"/>
      <w:r>
        <w:t xml:space="preserve">4.4 校准结果确认（计量确认）</w:t>
      </w:r>
      <w:bookmarkEnd w:id="28"/>
    </w:p>
    <w:p>
      <w:pPr>
        <w:pStyle w:val="FirstParagraph"/>
      </w:pPr>
      <w:r>
        <w:t xml:space="preserve">4.4.1 收到校准证书后，品质部须在 5 个工作日内完成计量确认，不得仅凭证书</w:t>
      </w:r>
      <w:r>
        <w:t xml:space="preserve">“</w:t>
      </w:r>
      <w:r>
        <w:t xml:space="preserve">结论</w:t>
      </w:r>
      <w:r>
        <w:t xml:space="preserve">”</w:t>
      </w:r>
      <w:r>
        <w:t xml:space="preserve">栏判定合格。确认内容：</w:t>
      </w:r>
    </w:p>
    <w:p>
      <w:pPr>
        <w:numPr>
          <w:ilvl w:val="0"/>
          <w:numId w:val="1005"/>
        </w:numPr>
        <w:pStyle w:val="Compact"/>
      </w:pPr>
      <w:r>
        <w:t xml:space="preserve">证书信息一致性：器具名称、编号、型号规格、出厂编号与台账是否一致；</w:t>
      </w:r>
    </w:p>
    <w:p>
      <w:pPr>
        <w:numPr>
          <w:ilvl w:val="0"/>
          <w:numId w:val="1005"/>
        </w:numPr>
        <w:pStyle w:val="Compact"/>
      </w:pPr>
      <w:r>
        <w:t xml:space="preserve">溯源有效性：出具机构是否在合格名录内、认可项目是否覆盖被校项目与量程、标准器溯源信息是否完整；</w:t>
      </w:r>
    </w:p>
    <w:p>
      <w:pPr>
        <w:numPr>
          <w:ilvl w:val="0"/>
          <w:numId w:val="1005"/>
        </w:numPr>
        <w:pStyle w:val="Compact"/>
      </w:pPr>
      <w:r>
        <w:t xml:space="preserve">技术符合性：各校准点的示值误差或修正值是否在最大允许误差（MPEV）以内；同时结合被测特性公差与测量能力评估（推荐测量设备最大允许误差不大于被测公差带的 1/3 至 1/10）；</w:t>
      </w:r>
    </w:p>
    <w:p>
      <w:pPr>
        <w:numPr>
          <w:ilvl w:val="0"/>
          <w:numId w:val="1005"/>
        </w:numPr>
        <w:pStyle w:val="Compact"/>
      </w:pPr>
      <w:r>
        <w:t xml:space="preserve">规格符合性：客户或内部规范是否另有更严要求。</w:t>
      </w:r>
    </w:p>
    <w:p>
      <w:pPr>
        <w:pStyle w:val="FirstParagraph"/>
      </w:pPr>
      <w:r>
        <w:t xml:space="preserve">4.4.2 判定规则：单项判定按</w:t>
      </w:r>
      <w:r>
        <w:t xml:space="preserve"> </w:t>
      </w:r>
      <w:r>
        <w:rPr>
          <w:rStyle w:val="VerbatimChar"/>
        </w:rPr>
        <w:t xml:space="preserve">|示值误差| ≤ MPEV</w:t>
      </w:r>
      <w:r>
        <w:t xml:space="preserve"> </w:t>
      </w:r>
      <w:r>
        <w:t xml:space="preserve">判合格；若校准证书给出不确定度且考虑不确定度影响，按 JJF 1094 的判定规则处理，必要时按</w:t>
      </w:r>
      <w:r>
        <w:t xml:space="preserve">“</w:t>
      </w:r>
      <w:r>
        <w:t xml:space="preserve">合格判定区</w:t>
      </w:r>
      <w:r>
        <w:t xml:space="preserve">”</w:t>
      </w:r>
      <w:r>
        <w:t xml:space="preserve">与</w:t>
      </w:r>
      <w:r>
        <w:t xml:space="preserve">“</w:t>
      </w:r>
      <w:r>
        <w:t xml:space="preserve">不合格判定区</w:t>
      </w:r>
      <w:r>
        <w:t xml:space="preserve">”</w:t>
      </w:r>
      <w:r>
        <w:t xml:space="preserve">处理待定情形，待定情形由品质部与技术部门会判。</w:t>
      </w:r>
    </w:p>
    <w:p>
      <w:pPr>
        <w:pStyle w:val="BodyText"/>
      </w:pPr>
      <w:r>
        <w:t xml:space="preserve">4.4.3 确认结论分三种：合格（可直接使用）；合格但需限用（如仅限使用某量程段、需带入修正值使用，须在使用部门张贴限用说明并在台账注明）；不合格（进入第 4.7 条处置流程）。确认结果填入《计量确认记录》（QR-7.1.5-03），由确认人签名。</w:t>
      </w:r>
    </w:p>
    <w:p>
      <w:pPr>
        <w:pStyle w:val="BodyText"/>
      </w:pPr>
      <w:r>
        <w:t xml:space="preserve">4.4.4 修正值使用：若器具在校准后需按修正值使用，使用部门须在器具旁保存修正值表并培训操作人员，修正值表由品质部编制；若器具带有可调装置已在校准中被调整，其调整前后的示值变化必须记录，以判断此前测量结果是否受影响。</w:t>
      </w:r>
    </w:p>
    <w:p>
      <w:pPr>
        <w:pStyle w:val="Heading3"/>
      </w:pPr>
      <w:bookmarkStart w:id="29" w:name="期间核查"/>
      <w:r>
        <w:t xml:space="preserve">4.5 期间核查</w:t>
      </w:r>
      <w:bookmarkEnd w:id="29"/>
    </w:p>
    <w:p>
      <w:pPr>
        <w:pStyle w:val="FirstParagraph"/>
      </w:pPr>
      <w:r>
        <w:t xml:space="preserve">4.5.1 期间核查的目的：在两次校准之间确认器具量值未发生显著漂移，尤其对 A 类器具、使用频繁或环境恶劣的器具、校准周期较长的器具、曾发生失准的器具。</w:t>
      </w:r>
    </w:p>
    <w:p>
      <w:pPr>
        <w:pStyle w:val="BodyText"/>
      </w:pPr>
      <w:r>
        <w:t xml:space="preserve">4.5.2 核查对象的确定：品质部每年编制《期间核查计划》，纳入对象包括——全部 A 类器具；上年度期间核查或校准出现异常的器具；使用频次大于每日一次的通用量具（抽选）；长期停用后重新启用的器具；经搬运、长途运输或维修后的器具；客户指定要求的器具。</w:t>
      </w:r>
    </w:p>
    <w:p>
      <w:pPr>
        <w:pStyle w:val="BodyText"/>
      </w:pPr>
      <w:r>
        <w:t xml:space="preserve">4.5.3 核查时机：校准后首次使用前；下次校准前的中间点（两次校准之间）；明显异常的测量结果出现时；器具发生跌落、碰撞、过载、受潮后；长期停用（超过 3 个月）重新启用时。</w:t>
      </w:r>
    </w:p>
    <w:p>
      <w:pPr>
        <w:pStyle w:val="BodyText"/>
      </w:pPr>
      <w:r>
        <w:t xml:space="preserve">4.5.4 核查方法（按器具选择其一或组合）：</w:t>
      </w:r>
    </w:p>
    <w:p>
      <w:pPr>
        <w:numPr>
          <w:ilvl w:val="0"/>
          <w:numId w:val="1006"/>
        </w:numPr>
        <w:pStyle w:val="Compact"/>
      </w:pPr>
      <w:r>
        <w:rPr>
          <w:b/>
        </w:rPr>
        <w:t xml:space="preserve">核查标准法</w:t>
      </w:r>
      <w:r>
        <w:t xml:space="preserve">：使用一件量值稳定、由品质部封存的核查标准件（如标准量块、标准环规、标准砝码）对被查器具重复测量 n 次（n ≥ 5），计算平均值与标准偏差，与核查标准的历史赋值得出偏差；</w:t>
      </w:r>
    </w:p>
    <w:p>
      <w:pPr>
        <w:numPr>
          <w:ilvl w:val="0"/>
          <w:numId w:val="1006"/>
        </w:numPr>
        <w:pStyle w:val="Compact"/>
      </w:pPr>
      <w:r>
        <w:rPr>
          <w:b/>
        </w:rPr>
        <w:t xml:space="preserve">传递比较法</w:t>
      </w:r>
      <w:r>
        <w:t xml:space="preserve">：用准确度更高的标准器或另一台同等级器具对被查器具进行比对测量，比对结果按 En 值判定；</w:t>
      </w:r>
    </w:p>
    <w:p>
      <w:pPr>
        <w:numPr>
          <w:ilvl w:val="0"/>
          <w:numId w:val="1006"/>
        </w:numPr>
        <w:pStyle w:val="Compact"/>
      </w:pPr>
      <w:r>
        <w:rPr>
          <w:b/>
        </w:rPr>
        <w:t xml:space="preserve">留样重测法</w:t>
      </w:r>
      <w:r>
        <w:t xml:space="preserve">：对一件性能稳定的产品留样进行重复测量，比较本次与历次测量结果；</w:t>
      </w:r>
    </w:p>
    <w:p>
      <w:pPr>
        <w:numPr>
          <w:ilvl w:val="0"/>
          <w:numId w:val="1006"/>
        </w:numPr>
        <w:pStyle w:val="Compact"/>
      </w:pPr>
      <w:r>
        <w:rPr>
          <w:b/>
        </w:rPr>
        <w:t xml:space="preserve">特性检查法</w:t>
      </w:r>
      <w:r>
        <w:t xml:space="preserve">：检查零位、示值重复性、示值稳定性、外观与活动部件功能，适用于无法取得核查标准的简易器具。</w:t>
      </w:r>
    </w:p>
    <w:p>
      <w:pPr>
        <w:pStyle w:val="FirstParagraph"/>
      </w:pPr>
      <w:r>
        <w:t xml:space="preserve">4.5.5 判定准则：</w:t>
      </w:r>
    </w:p>
    <w:p>
      <w:pPr>
        <w:numPr>
          <w:ilvl w:val="0"/>
          <w:numId w:val="1007"/>
        </w:numPr>
        <w:pStyle w:val="Compact"/>
      </w:pPr>
      <w:r>
        <w:t xml:space="preserve">采用核查标准法或传递比较法时，计算</w:t>
      </w:r>
      <w:r>
        <w:t xml:space="preserve"> </w:t>
      </w:r>
      <w:r>
        <w:rPr>
          <w:rStyle w:val="VerbatimChar"/>
        </w:rPr>
        <w:t xml:space="preserve">En = (被查器具示值 - 标准值) / sqrt(U1² + U2²)</w:t>
      </w:r>
      <w:r>
        <w:t xml:space="preserve">，</w:t>
      </w:r>
      <w:r>
        <w:rPr>
          <w:rStyle w:val="VerbatimChar"/>
        </w:rPr>
        <w:t xml:space="preserve">|En| ≤ 1</w:t>
      </w:r>
      <w:r>
        <w:t xml:space="preserve"> </w:t>
      </w:r>
      <w:r>
        <w:t xml:space="preserve">判为受控；</w:t>
      </w:r>
    </w:p>
    <w:p>
      <w:pPr>
        <w:numPr>
          <w:ilvl w:val="0"/>
          <w:numId w:val="1007"/>
        </w:numPr>
        <w:pStyle w:val="Compact"/>
      </w:pPr>
      <w:r>
        <w:t xml:space="preserve">采用留样重测法时，本次均值与历次均值的偏差不超过器具最大允许误差的 1/2 判为受控；</w:t>
      </w:r>
    </w:p>
    <w:p>
      <w:pPr>
        <w:numPr>
          <w:ilvl w:val="0"/>
          <w:numId w:val="1007"/>
        </w:numPr>
        <w:pStyle w:val="Compact"/>
      </w:pPr>
      <w:r>
        <w:t xml:space="preserve">采用特性检查法时，零位偏差、重复性、稳定性均满足器具说明书或内校规范要求判为受控。</w:t>
      </w:r>
    </w:p>
    <w:p>
      <w:pPr>
        <w:pStyle w:val="FirstParagraph"/>
      </w:pPr>
      <w:r>
        <w:t xml:space="preserve">4.5.6 核查结果处理：受控——继续使用，记录归入《期间核查记录》（QR-7.1.5-04）；失控——立即停止使用、粘贴</w:t>
      </w:r>
      <w:r>
        <w:t xml:space="preserve">“</w:t>
      </w:r>
      <w:r>
        <w:t xml:space="preserve">停用待处理</w:t>
      </w:r>
      <w:r>
        <w:t xml:space="preserve">”</w:t>
      </w:r>
      <w:r>
        <w:t xml:space="preserve">标识，由品质部组织原因分析，按第 4.7 条开展失准追溯，并按《纠正措施实施与验证作业指导书》开立纠正措施；核查结束须对失控期间产出的检验数据重新评估。</w:t>
      </w:r>
    </w:p>
    <w:p>
      <w:pPr>
        <w:pStyle w:val="BodyText"/>
      </w:pPr>
      <w:r>
        <w:t xml:space="preserve">4.5.7 期间核查记录须保留原始观测数据、环境条件、核查标准信息与判定计算过程，不得只记结论。</w:t>
      </w:r>
    </w:p>
    <w:p>
      <w:pPr>
        <w:pStyle w:val="Heading3"/>
      </w:pPr>
      <w:bookmarkStart w:id="30" w:name="状态标识管理"/>
      <w:r>
        <w:t xml:space="preserve">4.6 状态标识管理</w:t>
      </w:r>
      <w:bookmarkEnd w:id="30"/>
    </w:p>
    <w:p>
      <w:pPr>
        <w:pStyle w:val="FirstParagraph"/>
      </w:pPr>
      <w:r>
        <w:t xml:space="preserve">4.6.1 所有在用计量器具必须粘贴状态标识，标识内容至少包含：器具编号、校准有效期至、校准方式与机构、状态（合格/限用/停用/参考用）。</w:t>
      </w:r>
    </w:p>
    <w:p>
      <w:pPr>
        <w:pStyle w:val="BodyText"/>
      </w:pPr>
      <w:r>
        <w:t xml:space="preserve">4.6.2 标识颜色与样式建议：绿色</w:t>
      </w:r>
      <w:r>
        <w:t xml:space="preserve">“</w:t>
      </w:r>
      <w:r>
        <w:t xml:space="preserve">合格</w:t>
      </w:r>
      <w:r>
        <w:t xml:space="preserve">”</w:t>
      </w:r>
      <w:r>
        <w:t xml:space="preserve">；黄色</w:t>
      </w:r>
      <w:r>
        <w:t xml:space="preserve">“</w:t>
      </w:r>
      <w:r>
        <w:t xml:space="preserve">限用</w:t>
      </w:r>
      <w:r>
        <w:t xml:space="preserve">”</w:t>
      </w:r>
      <w:r>
        <w:t xml:space="preserve">；红色</w:t>
      </w:r>
      <w:r>
        <w:t xml:space="preserve">“</w:t>
      </w:r>
      <w:r>
        <w:t xml:space="preserve">停用</w:t>
      </w:r>
      <w:r>
        <w:t xml:space="preserve">”</w:t>
      </w:r>
      <w:r>
        <w:t xml:space="preserve">（含待修、待报废）；白色</w:t>
      </w:r>
      <w:r>
        <w:t xml:space="preserve">“</w:t>
      </w:r>
      <w:r>
        <w:t xml:space="preserve">参考用</w:t>
      </w:r>
      <w:r>
        <w:t xml:space="preserve">”</w:t>
      </w:r>
      <w:r>
        <w:t xml:space="preserve">。标识采用不易脱落的材料，粘贴于器具醒目且不易磨损处；无法粘贴的小型器具可悬挂标签或随盒标识。</w:t>
      </w:r>
    </w:p>
    <w:p>
      <w:pPr>
        <w:pStyle w:val="BodyText"/>
      </w:pPr>
      <w:r>
        <w:t xml:space="preserve">4.6.3 使用部门在日常使用前应确认标识完好且在有效期内；标识丢失或模糊时由品质部补发，不得由使用部门自行书写。禁止使用无标识、标识过期或状态为停用的器具开展检验。</w:t>
      </w:r>
    </w:p>
    <w:p>
      <w:pPr>
        <w:pStyle w:val="Heading3"/>
      </w:pPr>
      <w:bookmarkStart w:id="31" w:name="失准追溯与不合格器具处置"/>
      <w:r>
        <w:t xml:space="preserve">4.7 失准追溯与不合格器具处置</w:t>
      </w:r>
      <w:bookmarkEnd w:id="31"/>
    </w:p>
    <w:p>
      <w:pPr>
        <w:pStyle w:val="FirstParagraph"/>
      </w:pPr>
      <w:r>
        <w:t xml:space="preserve">4.7.1 当出现下列情形之一时，品质部应启动失准追溯：校准判定不合格；期间核查失控；校准中发现器具已被调整且调整量超出正常范围；自行发现示值明显错误；客户或外部反馈测量数据异常。</w:t>
      </w:r>
    </w:p>
    <w:p>
      <w:pPr>
        <w:pStyle w:val="BodyText"/>
      </w:pPr>
      <w:r>
        <w:t xml:space="preserve">4.7.2 追溯范围：确定该器具上次校准合格（或上次核查受控）至发现失准之间的时间区间，调阅该区间内该器具用于检验的全部批次、产品编号与检验记录。</w:t>
      </w:r>
    </w:p>
    <w:p>
      <w:pPr>
        <w:pStyle w:val="BodyText"/>
      </w:pPr>
      <w:r>
        <w:t xml:space="preserve">4.7.3 追溯评估方法：测量该器具失准程度（示值误差），与被测特性公差比较——</w:t>
      </w:r>
    </w:p>
    <w:p>
      <w:pPr>
        <w:numPr>
          <w:ilvl w:val="0"/>
          <w:numId w:val="1008"/>
        </w:numPr>
        <w:pStyle w:val="Compact"/>
      </w:pPr>
      <w:r>
        <w:t xml:space="preserve">若误差远小于公差带（如小于公差的 1/5）且实际测量值离判定界限有足够余量，判定此前测量结果未受影响，出具说明并归档；</w:t>
      </w:r>
    </w:p>
    <w:p>
      <w:pPr>
        <w:numPr>
          <w:ilvl w:val="0"/>
          <w:numId w:val="1008"/>
        </w:numPr>
        <w:pStyle w:val="Compact"/>
      </w:pPr>
      <w:r>
        <w:t xml:space="preserve">若不能排除影响，应对相关产品重新测量或加严检验；已交付的产品按《不合格品控制程序》与《顾客满意监视测量程序》评估影响范围，必要时通知客户并启动召回或追回。</w:t>
      </w:r>
    </w:p>
    <w:p>
      <w:pPr>
        <w:pStyle w:val="FirstParagraph"/>
      </w:pPr>
      <w:r>
        <w:t xml:space="preserve">4.7.4 不合格器具的处置方式：送修后重新校准；降级使用（限用）；改作参考用或教学用（须移除检验用途标识）；报废。处置须填写《计量器具处置记录》，由品质部与使用部门共同确认，管理者代表批准报废。</w:t>
      </w:r>
    </w:p>
    <w:p>
      <w:pPr>
        <w:pStyle w:val="BodyText"/>
      </w:pPr>
      <w:r>
        <w:t xml:space="preserve">4.7.5 失准追溯的全过程形成《失准追溯记录》，并作为纠正措施的输入，分析根本原因（如校准周期偏长、使用不当、防护不足）并落实改进。</w:t>
      </w:r>
    </w:p>
    <w:p>
      <w:pPr>
        <w:pStyle w:val="Heading3"/>
      </w:pPr>
      <w:bookmarkStart w:id="32" w:name="使用搬运贮存与报废"/>
      <w:r>
        <w:t xml:space="preserve">4.8 使用、搬运、贮存与报废</w:t>
      </w:r>
      <w:bookmarkEnd w:id="32"/>
    </w:p>
    <w:p>
      <w:pPr>
        <w:pStyle w:val="FirstParagraph"/>
      </w:pPr>
      <w:r>
        <w:t xml:space="preserve">4.8.1 使用前检查：外观无锈蚀、无磕碰、无弯曲；测量面清洁无毛刺；活动部件灵活；零位正确；标识有效。检查不合格时立即交品质部处理。</w:t>
      </w:r>
    </w:p>
    <w:p>
      <w:pPr>
        <w:pStyle w:val="BodyText"/>
      </w:pPr>
      <w:r>
        <w:t xml:space="preserve">4.8.2 使用要求：按器具说明书规定的使用方法与量程使用，禁止超量程、超温度范围使用；通用量具测量时测量力应均匀，禁止敲击或强拉；电子仪器开机后须预热并按说明书要求调零；专用检具须按操作图示使用，禁止替代或改装。</w:t>
      </w:r>
    </w:p>
    <w:p>
      <w:pPr>
        <w:pStyle w:val="BodyText"/>
      </w:pPr>
      <w:r>
        <w:t xml:space="preserve">4.8.3 日常维护：使用完毕擦拭干净、涂防锈油、放入专用盒或定位架；不得与工件、工具混放；对带电池仪器按周期更换电池并防止漏液腐蚀。</w:t>
      </w:r>
    </w:p>
    <w:p>
      <w:pPr>
        <w:pStyle w:val="BodyText"/>
      </w:pPr>
      <w:r>
        <w:t xml:space="preserve">4.8.4 搬运与贮存：长途搬运须使用原包装或等效防震包装；贮存环境应清洁、干燥、无腐蚀性气体，温度与湿度在器具说明书规定范围内；长期贮存的器具应定期（每季度）检查一次，并记录；启用前若超过校准有效期必须重新校准，未超过有效期但贮存超过 3 个月的应做期间核查。</w:t>
      </w:r>
    </w:p>
    <w:p>
      <w:pPr>
        <w:pStyle w:val="BodyText"/>
      </w:pPr>
      <w:r>
        <w:t xml:space="preserve">4.8.5 报废条件：无法修复；修复费用超过同型新购价格的 50%；精度无法恢复到规定要求；制造厂已停产且无配件；法规强制报废要求。报废器具须移除标识、拆除或破坏可调部件、单独存放待处理，防止误用。</w:t>
      </w:r>
    </w:p>
    <w:p>
      <w:pPr>
        <w:pStyle w:val="Heading3"/>
      </w:pPr>
      <w:bookmarkStart w:id="33" w:name="流程图文字版"/>
      <w:r>
        <w:t xml:space="preserve">4.9 流程图（文字版）</w:t>
      </w:r>
      <w:bookmarkEnd w:id="33"/>
    </w:p>
    <w:p>
      <w:pPr>
        <w:pStyle w:val="FirstParagraph"/>
      </w:pPr>
      <w:r>
        <w:t xml:space="preserve">器具申购与选型 → 入厂验收（外观、功能、随附证书核对） → 分类判定（A/B/C） → 编号与台账登记 → 确定校准方式与周期 → 粘贴状态标识 → 投入使用 → 到期前送校（外校）或安排内校 → 校准证书/内校记录审核 → 计量确认（合格/限用/不合格） → 更新台账与标识 → 期间核查（按计划与时机） → 核查受控则继续使用、失控则停用并失准追溯 → 处置（继续使用/限用/维修/降级/报废） → 记录归档。</w:t>
      </w:r>
    </w:p>
    <w:p>
      <w:pPr>
        <w:pStyle w:val="BodyText"/>
      </w:pPr>
      <w:r>
        <w:t xml:space="preserve">异常回路：任一环节发现不合格或失控，立即隔离停用并进入失准追溯与纠正措施流程。</w:t>
      </w:r>
    </w:p>
    <w:p>
      <w:pPr>
        <w:pStyle w:val="Heading3"/>
      </w:pPr>
      <w:bookmarkStart w:id="34" w:name="表单清单字段与填写说明"/>
      <w:r>
        <w:t xml:space="preserve">4.10 表单清单、字段与填写说明</w:t>
      </w:r>
      <w:bookmarkEnd w:id="34"/>
    </w:p>
    <w:p>
      <w:pPr>
        <w:pStyle w:val="FirstParagraph"/>
      </w:pPr>
      <w:r>
        <w:rPr>
          <w:b/>
        </w:rPr>
        <w:t xml:space="preserve">（1）QR-7.1.5-01 计量器具台账</w:t>
      </w:r>
    </w:p>
    <w:p>
      <w:pPr>
        <w:pStyle w:val="BodyText"/>
      </w:pPr>
      <w:r>
        <w:t xml:space="preserve">字段：序号｜器具编号｜名称｜型号规格｜测量范围｜分辨力｜准确度等级/最大允许误差｜制造厂｜出厂编号｜购置日期｜启用日期｜使用部门｜存放位置｜类别（A/B/C）｜校准方式（外校/内校/免校）｜校准机构｜校准周期（月）｜上次校准日期｜有效期至｜状态｜备注。</w:t>
      </w:r>
    </w:p>
    <w:p>
      <w:pPr>
        <w:pStyle w:val="BodyText"/>
      </w:pPr>
      <w:r>
        <w:t xml:space="preserve">填写说明：一台器具一行；器具编号唯一且不得重复；</w:t>
      </w:r>
      <w:r>
        <w:t xml:space="preserve">“</w:t>
      </w:r>
      <w:r>
        <w:t xml:space="preserve">类别</w:t>
      </w:r>
      <w:r>
        <w:t xml:space="preserve">”</w:t>
      </w:r>
      <w:r>
        <w:t xml:space="preserve">变更须在备注注明变更日期与批准人；每季度实物核对后在</w:t>
      </w:r>
      <w:r>
        <w:t xml:space="preserve">“</w:t>
      </w:r>
      <w:r>
        <w:t xml:space="preserve">状态</w:t>
      </w:r>
      <w:r>
        <w:t xml:space="preserve">”</w:t>
      </w:r>
      <w:r>
        <w:t xml:space="preserve">栏或单独核对记录中登记核对日期与核对人。</w:t>
      </w:r>
    </w:p>
    <w:p>
      <w:pPr>
        <w:pStyle w:val="BodyText"/>
      </w:pPr>
      <w:r>
        <w:t xml:space="preserve">示例行：</w:t>
      </w:r>
      <w:r>
        <w:rPr>
          <w:rStyle w:val="VerbatimChar"/>
        </w:rPr>
        <w:t xml:space="preserve">1｜JC-PZ-001｜游标卡尺｜0～150mm｜0～150mm｜0.02mm｜±0.02mm｜某量具厂｜12345678｜2024-03-10｜2024-03-15｜品质部｜计量室｜B｜外校｜XX市计量所｜12｜2026-03-15｜2027-03-14｜合格｜—</w:t>
      </w:r>
      <w:r>
        <w:t xml:space="preserve">。</w:t>
      </w:r>
    </w:p>
    <w:p>
      <w:pPr>
        <w:pStyle w:val="BodyText"/>
      </w:pPr>
      <w:r>
        <w:rPr>
          <w:b/>
        </w:rPr>
        <w:t xml:space="preserve">（2）QR-7.1.5-02 年度校准计划 / 月度校准实施明细</w:t>
      </w:r>
    </w:p>
    <w:p>
      <w:pPr>
        <w:pStyle w:val="BodyText"/>
      </w:pPr>
      <w:r>
        <w:t xml:space="preserve">字段：序号｜器具编号｜名称｜使用部门｜校准方式｜校准机构｜上次校准日期｜有效期至｜计划校准月份｜送校日期｜取回日期｜责任人｜完成情况｜备注。</w:t>
      </w:r>
    </w:p>
    <w:p>
      <w:pPr>
        <w:pStyle w:val="BodyText"/>
      </w:pPr>
      <w:r>
        <w:t xml:space="preserve">填写说明：按有效期倒排计划月份，外校提前 30 个工作日、内校提前 10 个工作日；完成情况填</w:t>
      </w:r>
      <w:r>
        <w:t xml:space="preserve">“</w:t>
      </w:r>
      <w:r>
        <w:t xml:space="preserve">已完成/延期/取消</w:t>
      </w:r>
      <w:r>
        <w:t xml:space="preserve">”</w:t>
      </w:r>
      <w:r>
        <w:t xml:space="preserve">并注明原因；计划调整须保留原计划痕迹。</w:t>
      </w:r>
    </w:p>
    <w:p>
      <w:pPr>
        <w:pStyle w:val="BodyText"/>
      </w:pPr>
      <w:r>
        <w:t xml:space="preserve">示例行：</w:t>
      </w:r>
      <w:r>
        <w:rPr>
          <w:rStyle w:val="VerbatimChar"/>
        </w:rPr>
        <w:t xml:space="preserve">12｜JC-PZ-001｜游标卡尺｜品质部｜外校｜XX市计量所｜2026-03-15｜2027-03-14｜2027-02｜2027-02-20｜2027-02-28｜张某｜已完成｜—</w:t>
      </w:r>
      <w:r>
        <w:t xml:space="preserve">。</w:t>
      </w:r>
    </w:p>
    <w:p>
      <w:pPr>
        <w:pStyle w:val="BodyText"/>
      </w:pPr>
      <w:r>
        <w:rPr>
          <w:b/>
        </w:rPr>
        <w:t xml:space="preserve">（3）QR-7.1.5-03 计量确认记录</w:t>
      </w:r>
    </w:p>
    <w:p>
      <w:pPr>
        <w:pStyle w:val="BodyText"/>
      </w:pPr>
      <w:r>
        <w:t xml:space="preserve">字段：器具编号｜名称｜校准证书编号｜校准机构｜校准日期｜标准器与溯源信息｜校准点（名义值）｜示值｜示值误差｜修正值｜不确定度｜最大允许误差｜单项判定｜综合结论（合格/限用/不合格）｜限用说明｜确认人｜确认日期。</w:t>
      </w:r>
    </w:p>
    <w:p>
      <w:pPr>
        <w:pStyle w:val="BodyText"/>
      </w:pPr>
      <w:r>
        <w:t xml:space="preserve">填写说明：逐校准点填写，不得只抄证书结论；给出不确定度时须注明判定规则；限用时写明限制量程或须带入修正值的使用方式；由品质部确认人签名，必要时技术部门会签。</w:t>
      </w:r>
    </w:p>
    <w:p>
      <w:pPr>
        <w:pStyle w:val="BodyText"/>
      </w:pPr>
      <w:r>
        <w:t xml:space="preserve">示例行：</w:t>
      </w:r>
      <w:r>
        <w:rPr>
          <w:rStyle w:val="VerbatimChar"/>
        </w:rPr>
        <w:t xml:space="preserve">JC-PZ-001｜游标卡尺｜JL2026-0088｜XX市计量所｜2026-03-15｜量块 3 等，溯源至国家基准｜50.00mm｜50.01mm｜+0.01mm｜-0.01mm｜U=0.01mm（k=2）｜±0.02mm｜合格｜合格｜—｜王某｜2026-03-18</w:t>
      </w:r>
      <w:r>
        <w:t xml:space="preserve">。</w:t>
      </w:r>
    </w:p>
    <w:p>
      <w:pPr>
        <w:pStyle w:val="BodyText"/>
      </w:pPr>
      <w:r>
        <w:rPr>
          <w:b/>
        </w:rPr>
        <w:t xml:space="preserve">（4）QR-7.1.5-04 期间核查记录</w:t>
      </w:r>
    </w:p>
    <w:p>
      <w:pPr>
        <w:pStyle w:val="BodyText"/>
      </w:pPr>
      <w:r>
        <w:t xml:space="preserve">字段：器具编号｜名称｜核查日期｜核查方法（核查标准法/传递比较法/留样重测法/特性检查法）｜核查标准编号与赋值｜环境条件（温度、湿度）｜测量次数｜各次观测值｜平均值｜标准偏差｜被查器具示值｜偏差｜U1｜U2｜En 值｜判定准则｜结论（受控/失控）｜失控处理措施｜核查人｜复核人。</w:t>
      </w:r>
    </w:p>
    <w:p>
      <w:pPr>
        <w:pStyle w:val="BodyText"/>
      </w:pPr>
      <w:r>
        <w:t xml:space="preserve">填写说明：保留原始观测数据；环境条件如实记载；判定计算过程须写入记录；失控须在同一记录内写明隔离、追溯与纠正措施编号。</w:t>
      </w:r>
    </w:p>
    <w:p>
      <w:pPr>
        <w:pStyle w:val="BodyText"/>
      </w:pPr>
      <w:r>
        <w:t xml:space="preserve">示例行：</w:t>
      </w:r>
      <w:r>
        <w:rPr>
          <w:rStyle w:val="VerbatimChar"/>
        </w:rPr>
        <w:t xml:space="preserve">JC-PZ-001｜游标卡尺｜2026-09-10｜核查标准法｜HZ-001，赋值 50.000mm｜22.5℃/55%RH｜5｜50.01/50.01/50.02/50.01/50.01｜50.012mm｜0.004mm｜50.012mm｜0.012mm｜0.005mm｜0.008mm｜1.27｜|En|≤1｜失控｜已停用并追溯，见 ZJ-2026-003｜李某｜张某</w:t>
      </w:r>
      <w:r>
        <w:t xml:space="preserve">。</w:t>
      </w:r>
    </w:p>
    <w:p>
      <w:pPr>
        <w:pStyle w:val="BodyText"/>
      </w:pPr>
      <w:r>
        <w:rPr>
          <w:b/>
        </w:rPr>
        <w:t xml:space="preserve">（5）QR-7.1.5-05 失准追溯记录</w:t>
      </w:r>
    </w:p>
    <w:p>
      <w:pPr>
        <w:pStyle w:val="BodyText"/>
      </w:pPr>
      <w:r>
        <w:t xml:space="preserve">字段：器具编号｜发现日期｜发现方式（校准/核查/使用中）｜失准程度｜上次受控日期｜追溯时间区间｜涉及批次/产品编号｜检验记录编号｜误差与公差比较｜影响判定（有/无/待定）｜处置措施｜追溯结论｜编制人｜批准人。</w:t>
      </w:r>
    </w:p>
    <w:p>
      <w:pPr>
        <w:pStyle w:val="BodyText"/>
      </w:pPr>
      <w:r>
        <w:t xml:space="preserve">填写说明：追溯区间起点为上次校准合格或核查受控之日；影响判定为</w:t>
      </w:r>
      <w:r>
        <w:t xml:space="preserve">“</w:t>
      </w:r>
      <w:r>
        <w:t xml:space="preserve">无</w:t>
      </w:r>
      <w:r>
        <w:t xml:space="preserve">”</w:t>
      </w:r>
      <w:r>
        <w:t xml:space="preserve">时须写明误差与公差的定量比较依据；涉客户时注明通知日期与客户答复。</w:t>
      </w:r>
    </w:p>
    <w:p>
      <w:pPr>
        <w:pStyle w:val="BodyText"/>
      </w:pPr>
      <w:r>
        <w:rPr>
          <w:b/>
        </w:rPr>
        <w:t xml:space="preserve">（6）QR-7.1.5-06 计量器具处置记录</w:t>
      </w:r>
    </w:p>
    <w:p>
      <w:pPr>
        <w:pStyle w:val="BodyText"/>
      </w:pPr>
      <w:r>
        <w:t xml:space="preserve">字段：器具编号｜名称｜处置日期｜处置原因｜处置方式（维修后重校/降级限用/改参考用/报废）｜维修单位｜维修内容｜重校结果｜报废确认（拆除可调部件、移除标识）｜申请人｜批准人。</w:t>
      </w:r>
    </w:p>
    <w:p>
      <w:pPr>
        <w:pStyle w:val="BodyText"/>
      </w:pPr>
      <w:r>
        <w:t xml:space="preserve">填写说明：报废须两人以上确认并做防误用处理；降级或改参考用时须更新台账、标识与使用说明。</w:t>
      </w:r>
    </w:p>
    <w:p>
      <w:pPr>
        <w:pStyle w:val="BodyText"/>
      </w:pPr>
      <w:r>
        <w:rPr>
          <w:b/>
        </w:rPr>
        <w:t xml:space="preserve">（7）QR-7.1.5-07 外部校准机构评价表 / 合格校准机构名录</w:t>
      </w:r>
    </w:p>
    <w:p>
      <w:pPr>
        <w:pStyle w:val="BodyText"/>
      </w:pPr>
      <w:r>
        <w:t xml:space="preserve">字段（评价表）：机构名称｜资质类型与证书编号｜认可能力范围（项目、量程）｜证书有效期｜服务响应时间｜交付表现｜历史差错记录｜评价结论｜评价人｜评价日期｜复审日期。</w:t>
      </w:r>
    </w:p>
    <w:p>
      <w:pPr>
        <w:pStyle w:val="BodyText"/>
      </w:pPr>
      <w:r>
        <w:t xml:space="preserve">字段（名录）：序号｜机构名称｜资质编号｜认可项目范围｜联系人｜联系方式｜有效期至｜状态。</w:t>
      </w:r>
    </w:p>
    <w:p>
      <w:pPr>
        <w:pStyle w:val="BodyText"/>
      </w:pPr>
      <w:r>
        <w:rPr>
          <w:b/>
        </w:rPr>
        <w:t xml:space="preserve">（8）QR-7.1.5-08 内校记录与内校规范登记表</w:t>
      </w:r>
    </w:p>
    <w:p>
      <w:pPr>
        <w:pStyle w:val="BodyText"/>
      </w:pPr>
      <w:r>
        <w:t xml:space="preserve">字段（内校记录）：内校日期｜器具编号｜名称｜标准器编号与有效期｜环境条件｜校准点｜标准器示值｜被校器具示值｜示值误差｜判定｜结论｜操作人｜复核人。</w:t>
      </w:r>
    </w:p>
    <w:p>
      <w:pPr>
        <w:pStyle w:val="BodyText"/>
      </w:pPr>
      <w:r>
        <w:t xml:space="preserve">字段（规范登记表）：规范编号｜适用器具类别｜依据规程｜校准点与方法｜标准器要求｜判定准则｜编写人｜批准人｜生效日期。</w:t>
      </w:r>
    </w:p>
    <w:p>
      <w:pPr>
        <w:pStyle w:val="Heading2"/>
      </w:pPr>
      <w:bookmarkStart w:id="35" w:name="五相关记录"/>
      <w:r>
        <w:t xml:space="preserve">五、相关记录</w:t>
      </w:r>
      <w:bookmarkEnd w:id="35"/>
    </w:p>
    <w:p>
      <w:pPr>
        <w:numPr>
          <w:ilvl w:val="0"/>
          <w:numId w:val="1009"/>
        </w:numPr>
        <w:pStyle w:val="Compact"/>
      </w:pPr>
      <w:r>
        <w:t xml:space="preserve">QR-7.1.5-01 计量器具台账</w:t>
      </w:r>
    </w:p>
    <w:p>
      <w:pPr>
        <w:numPr>
          <w:ilvl w:val="0"/>
          <w:numId w:val="1009"/>
        </w:numPr>
        <w:pStyle w:val="Compact"/>
      </w:pPr>
      <w:r>
        <w:t xml:space="preserve">QR-7.1.5-02 年度校准计划 / 月度校准实施明细</w:t>
      </w:r>
    </w:p>
    <w:p>
      <w:pPr>
        <w:numPr>
          <w:ilvl w:val="0"/>
          <w:numId w:val="1009"/>
        </w:numPr>
        <w:pStyle w:val="Compact"/>
      </w:pPr>
      <w:r>
        <w:t xml:space="preserve">QR-7.1.5-03 计量确认记录</w:t>
      </w:r>
    </w:p>
    <w:p>
      <w:pPr>
        <w:numPr>
          <w:ilvl w:val="0"/>
          <w:numId w:val="1009"/>
        </w:numPr>
        <w:pStyle w:val="Compact"/>
      </w:pPr>
      <w:r>
        <w:t xml:space="preserve">QR-7.1.5-04 期间核查记录</w:t>
      </w:r>
    </w:p>
    <w:p>
      <w:pPr>
        <w:numPr>
          <w:ilvl w:val="0"/>
          <w:numId w:val="1009"/>
        </w:numPr>
        <w:pStyle w:val="Compact"/>
      </w:pPr>
      <w:r>
        <w:t xml:space="preserve">QR-7.1.5-05 失准追溯记录</w:t>
      </w:r>
    </w:p>
    <w:p>
      <w:pPr>
        <w:numPr>
          <w:ilvl w:val="0"/>
          <w:numId w:val="1009"/>
        </w:numPr>
        <w:pStyle w:val="Compact"/>
      </w:pPr>
      <w:r>
        <w:t xml:space="preserve">QR-7.1.5-06 计量器具处置记录</w:t>
      </w:r>
    </w:p>
    <w:p>
      <w:pPr>
        <w:numPr>
          <w:ilvl w:val="0"/>
          <w:numId w:val="1009"/>
        </w:numPr>
        <w:pStyle w:val="Compact"/>
      </w:pPr>
      <w:r>
        <w:t xml:space="preserve">QR-7.1.5-07 外部校准机构评价表 / 合格校准机构名录</w:t>
      </w:r>
    </w:p>
    <w:p>
      <w:pPr>
        <w:numPr>
          <w:ilvl w:val="0"/>
          <w:numId w:val="1009"/>
        </w:numPr>
        <w:pStyle w:val="Compact"/>
      </w:pPr>
      <w:r>
        <w:t xml:space="preserve">QR-7.1.5-08 内校记录 / 内校规范登记表</w:t>
      </w:r>
    </w:p>
    <w:p>
      <w:pPr>
        <w:numPr>
          <w:ilvl w:val="0"/>
          <w:numId w:val="1009"/>
        </w:numPr>
        <w:pStyle w:val="Compact"/>
      </w:pPr>
      <w:r>
        <w:t xml:space="preserve">外部校准证书与检定证书（原件或扫描件，归档保存）</w:t>
      </w:r>
    </w:p>
    <w:p>
      <w:pPr>
        <w:numPr>
          <w:ilvl w:val="0"/>
          <w:numId w:val="1009"/>
        </w:numPr>
        <w:pStyle w:val="Compact"/>
      </w:pPr>
      <w:r>
        <w:t xml:space="preserve">送校委托单、内校人员资格授权记录</w:t>
      </w:r>
    </w:p>
    <w:p>
      <w:pPr>
        <w:pStyle w:val="FirstParagraph"/>
      </w:pPr>
      <w:r>
        <w:t xml:space="preserve">记录保存期限：校准证书、计量确认记录、期间核查记录、失准追溯记录保存期限不少于 3 个校准周期，且不少于 3 年；涉及产品追溯的记录按《记录控制程序》的最长保存期执行。</w:t>
      </w:r>
    </w:p>
    <w:p>
      <w:pPr>
        <w:pStyle w:val="Heading2"/>
      </w:pPr>
      <w:bookmarkStart w:id="36" w:name="六相关文件"/>
      <w:r>
        <w:t xml:space="preserve">六、相关文件</w:t>
      </w:r>
      <w:bookmarkEnd w:id="36"/>
    </w:p>
    <w:p>
      <w:pPr>
        <w:numPr>
          <w:ilvl w:val="0"/>
          <w:numId w:val="1010"/>
        </w:numPr>
        <w:pStyle w:val="Compact"/>
      </w:pPr>
      <w:r>
        <w:t xml:space="preserve">《质量手册》第 7.1.5 章 监视和测量资源</w:t>
      </w:r>
    </w:p>
    <w:p>
      <w:pPr>
        <w:numPr>
          <w:ilvl w:val="0"/>
          <w:numId w:val="1010"/>
        </w:numPr>
        <w:pStyle w:val="Compact"/>
      </w:pPr>
      <w:r>
        <w:t xml:space="preserve">《监视和测量资源控制程序》（套包第 10 篇）</w:t>
      </w:r>
    </w:p>
    <w:p>
      <w:pPr>
        <w:numPr>
          <w:ilvl w:val="0"/>
          <w:numId w:val="1010"/>
        </w:numPr>
        <w:pStyle w:val="Compact"/>
      </w:pPr>
      <w:r>
        <w:t xml:space="preserve">《基础设施与设备管理程序》（套包第 9 篇）</w:t>
      </w:r>
    </w:p>
    <w:p>
      <w:pPr>
        <w:numPr>
          <w:ilvl w:val="0"/>
          <w:numId w:val="1010"/>
        </w:numPr>
        <w:pStyle w:val="Compact"/>
      </w:pPr>
      <w:r>
        <w:t xml:space="preserve">《记录控制程序》（套包第 4 篇）</w:t>
      </w:r>
    </w:p>
    <w:p>
      <w:pPr>
        <w:numPr>
          <w:ilvl w:val="0"/>
          <w:numId w:val="1010"/>
        </w:numPr>
        <w:pStyle w:val="Compact"/>
      </w:pPr>
      <w:r>
        <w:t xml:space="preserve">《文件控制程序》（套包第 3 篇）</w:t>
      </w:r>
    </w:p>
    <w:p>
      <w:pPr>
        <w:numPr>
          <w:ilvl w:val="0"/>
          <w:numId w:val="1010"/>
        </w:numPr>
        <w:pStyle w:val="Compact"/>
      </w:pPr>
      <w:r>
        <w:t xml:space="preserve">《不合格品控制程序》（套包第 22 篇）</w:t>
      </w:r>
    </w:p>
    <w:p>
      <w:pPr>
        <w:numPr>
          <w:ilvl w:val="0"/>
          <w:numId w:val="1010"/>
        </w:numPr>
        <w:pStyle w:val="Compact"/>
      </w:pPr>
      <w:r>
        <w:t xml:space="preserve">《不合格与纠正措施程序》（套包第 27 篇）</w:t>
      </w:r>
    </w:p>
    <w:p>
      <w:pPr>
        <w:numPr>
          <w:ilvl w:val="0"/>
          <w:numId w:val="1010"/>
        </w:numPr>
        <w:pStyle w:val="Compact"/>
      </w:pPr>
      <w:r>
        <w:t xml:space="preserve">《纠正措施实施与验证作业指导书》（套包第 45 篇）</w:t>
      </w:r>
    </w:p>
    <w:p>
      <w:pPr>
        <w:numPr>
          <w:ilvl w:val="0"/>
          <w:numId w:val="1010"/>
        </w:numPr>
        <w:pStyle w:val="Compact"/>
      </w:pPr>
      <w:r>
        <w:t xml:space="preserve">《员工培训作业指导书》（套包第 31 篇）</w:t>
      </w:r>
    </w:p>
    <w:p>
      <w:pPr>
        <w:numPr>
          <w:ilvl w:val="0"/>
          <w:numId w:val="1010"/>
        </w:numPr>
        <w:pStyle w:val="Compact"/>
      </w:pPr>
      <w:r>
        <w:t xml:space="preserve">《过程检验作业指导书》《成品检验作业指导书》（套包第 35、36 篇）</w:t>
      </w:r>
    </w:p>
    <w:p>
      <w:pPr>
        <w:numPr>
          <w:ilvl w:val="0"/>
          <w:numId w:val="1010"/>
        </w:numPr>
        <w:pStyle w:val="Compact"/>
      </w:pPr>
      <w:r>
        <w:t xml:space="preserve">相关计量检定规程与校准规范（JJG、JJF 系列，按器具引用）</w:t>
      </w:r>
    </w:p>
    <w:p>
      <w:pPr>
        <w:pStyle w:val="Heading2"/>
      </w:pPr>
      <w:bookmarkStart w:id="37" w:name="使用说明"/>
      <w:r>
        <w:t xml:space="preserve">使用说明</w:t>
      </w:r>
      <w:bookmarkEnd w:id="37"/>
    </w:p>
    <w:p>
      <w:pPr>
        <w:pStyle w:val="FirstParagraph"/>
      </w:pPr>
      <w:r>
        <w:rPr>
          <w:b/>
        </w:rPr>
        <w:t xml:space="preserve">一、如何按企业实际修改</w:t>
      </w:r>
    </w:p>
    <w:p>
      <w:pPr>
        <w:numPr>
          <w:ilvl w:val="0"/>
          <w:numId w:val="1011"/>
        </w:numPr>
        <w:pStyle w:val="Compact"/>
      </w:pPr>
      <w:r>
        <w:rPr>
          <w:b/>
        </w:rPr>
        <w:t xml:space="preserve">按产品类型替换器具清单</w:t>
      </w:r>
      <w:r>
        <w:t xml:space="preserve">：本指导书第 2.1 条的器具枚举覆盖机加工、装配、电气、食品与化工常见类型，企业应只保留自身实际使用的品类，其余删除；新增品类时同步补充对应的内校依据规程或外校要求。</w:t>
      </w:r>
    </w:p>
    <w:p>
      <w:pPr>
        <w:numPr>
          <w:ilvl w:val="0"/>
          <w:numId w:val="1011"/>
        </w:numPr>
        <w:pStyle w:val="Compact"/>
      </w:pPr>
      <w:r>
        <w:rPr>
          <w:b/>
        </w:rPr>
        <w:t xml:space="preserve">按组织架构调整职责</w:t>
      </w:r>
      <w:r>
        <w:t xml:space="preserve">：若无独立计量室，可把 3.1 条职责并入品质部综合岗，但必须明确到具体岗位而非部门；若无设备部，则把在线测量装置的技术职责划归技术部或生产部。职责落不到岗位是本文件最常见的</w:t>
      </w:r>
      <w:r>
        <w:t xml:space="preserve">“</w:t>
      </w:r>
      <w:r>
        <w:t xml:space="preserve">写而不用</w:t>
      </w:r>
      <w:r>
        <w:t xml:space="preserve">”</w:t>
      </w:r>
      <w:r>
        <w:t xml:space="preserve">原因。</w:t>
      </w:r>
    </w:p>
    <w:p>
      <w:pPr>
        <w:numPr>
          <w:ilvl w:val="0"/>
          <w:numId w:val="1011"/>
        </w:numPr>
        <w:pStyle w:val="Compact"/>
      </w:pPr>
      <w:r>
        <w:rPr>
          <w:b/>
        </w:rPr>
        <w:t xml:space="preserve">按测量能力设定判定准则</w:t>
      </w:r>
      <w:r>
        <w:t xml:space="preserve">：A/B/C 分类与校准周期的具体数值应结合本企业被测特性公差、器具漂移趋势与实际失准记录设定，不要照抄本文件的示例周期；测量能力不足（器具最大允许误差大于公差带的 1/3）时，应优先更换器具或引入修正值使用，而非放宽判定。</w:t>
      </w:r>
    </w:p>
    <w:p>
      <w:pPr>
        <w:numPr>
          <w:ilvl w:val="0"/>
          <w:numId w:val="1011"/>
        </w:numPr>
        <w:pStyle w:val="Compact"/>
      </w:pPr>
      <w:r>
        <w:rPr>
          <w:b/>
        </w:rPr>
        <w:t xml:space="preserve">按资源条件选择校准方式</w:t>
      </w:r>
      <w:r>
        <w:t xml:space="preserve">：内校的前提是标准器、环境与人员三项齐备。资源不足时宁可全部外校，也不要用不具备溯源条件的标准器做内校——这是审核中性质最严重的缺陷之一。</w:t>
      </w:r>
    </w:p>
    <w:p>
      <w:pPr>
        <w:numPr>
          <w:ilvl w:val="0"/>
          <w:numId w:val="1011"/>
        </w:numPr>
        <w:pStyle w:val="Compact"/>
      </w:pPr>
      <w:r>
        <w:rPr>
          <w:b/>
        </w:rPr>
        <w:t xml:space="preserve">按强检目录核对</w:t>
      </w:r>
      <w:r>
        <w:t xml:space="preserve">：企业须核对自身器具是否属于国家强制检定目录范围，属于者必须送法定机构检定并取得检定证书，不能以内部校准或第三方校准报告替代。</w:t>
      </w:r>
    </w:p>
    <w:p>
      <w:pPr>
        <w:pStyle w:val="FirstParagraph"/>
      </w:pPr>
      <w:r>
        <w:rPr>
          <w:b/>
        </w:rPr>
        <w:t xml:space="preserve">二、审核关注点</w:t>
      </w:r>
    </w:p>
    <w:p>
      <w:pPr>
        <w:numPr>
          <w:ilvl w:val="0"/>
          <w:numId w:val="1012"/>
        </w:numPr>
        <w:pStyle w:val="Compact"/>
      </w:pPr>
      <w:r>
        <w:t xml:space="preserve">台账与实物是否一一对应，有无账外器具在用；编号是否唯一、报废编号是否被封存。</w:t>
      </w:r>
    </w:p>
    <w:p>
      <w:pPr>
        <w:numPr>
          <w:ilvl w:val="0"/>
          <w:numId w:val="1012"/>
        </w:numPr>
        <w:pStyle w:val="Compact"/>
      </w:pPr>
      <w:r>
        <w:t xml:space="preserve">校准证书是否在有效期内覆盖使用期间；证书的校准机构是否在合格名录内、认可范围是否覆盖被校量程。</w:t>
      </w:r>
    </w:p>
    <w:p>
      <w:pPr>
        <w:numPr>
          <w:ilvl w:val="0"/>
          <w:numId w:val="1012"/>
        </w:numPr>
        <w:pStyle w:val="Compact"/>
      </w:pPr>
      <w:r>
        <w:t xml:space="preserve">是否有独立的计量确认记录，而不是仅凭证书</w:t>
      </w:r>
      <w:r>
        <w:t xml:space="preserve">“</w:t>
      </w:r>
      <w:r>
        <w:t xml:space="preserve">结论</w:t>
      </w:r>
      <w:r>
        <w:t xml:space="preserve">”</w:t>
      </w:r>
      <w:r>
        <w:t xml:space="preserve">栏判定合格；不确定度是否被考虑。</w:t>
      </w:r>
    </w:p>
    <w:p>
      <w:pPr>
        <w:numPr>
          <w:ilvl w:val="0"/>
          <w:numId w:val="1012"/>
        </w:numPr>
        <w:pStyle w:val="Compact"/>
      </w:pPr>
      <w:r>
        <w:t xml:space="preserve">校准周期是否有确定依据与调整记录，是否存在</w:t>
      </w:r>
      <w:r>
        <w:t xml:space="preserve">“</w:t>
      </w:r>
      <w:r>
        <w:t xml:space="preserve">年年 12 个月从不调整</w:t>
      </w:r>
      <w:r>
        <w:t xml:space="preserve">”</w:t>
      </w:r>
      <w:r>
        <w:t xml:space="preserve">的形式化做法。</w:t>
      </w:r>
    </w:p>
    <w:p>
      <w:pPr>
        <w:numPr>
          <w:ilvl w:val="0"/>
          <w:numId w:val="1012"/>
        </w:numPr>
        <w:pStyle w:val="Compact"/>
      </w:pPr>
      <w:r>
        <w:t xml:space="preserve">期间核查是否真正实施，记录中是否有原始观测数据与计算过程；核查失控后的追溯与纠正措施是否闭环。</w:t>
      </w:r>
    </w:p>
    <w:p>
      <w:pPr>
        <w:numPr>
          <w:ilvl w:val="0"/>
          <w:numId w:val="1012"/>
        </w:numPr>
        <w:pStyle w:val="Compact"/>
      </w:pPr>
      <w:r>
        <w:t xml:space="preserve">状态标识是否与台账、证书一致；限用器具的使用部门是否知晓限制条件。</w:t>
      </w:r>
    </w:p>
    <w:p>
      <w:pPr>
        <w:numPr>
          <w:ilvl w:val="0"/>
          <w:numId w:val="1012"/>
        </w:numPr>
        <w:pStyle w:val="Compact"/>
      </w:pPr>
      <w:r>
        <w:t xml:space="preserve">发生失准追溯时，追溯区间的界定是否有依据，已交付产品是否被评估。</w:t>
      </w:r>
    </w:p>
    <w:p>
      <w:pPr>
        <w:numPr>
          <w:ilvl w:val="0"/>
          <w:numId w:val="1012"/>
        </w:numPr>
        <w:pStyle w:val="Compact"/>
      </w:pPr>
      <w:r>
        <w:t xml:space="preserve">C 类器具的认定理由是否在台账中写明，防止以</w:t>
      </w:r>
      <w:r>
        <w:t xml:space="preserve">“</w:t>
      </w:r>
      <w:r>
        <w:t xml:space="preserve">参考用</w:t>
      </w:r>
      <w:r>
        <w:t xml:space="preserve">”</w:t>
      </w:r>
      <w:r>
        <w:t xml:space="preserve">名义规避该管器具。</w:t>
      </w:r>
    </w:p>
    <w:p>
      <w:pPr>
        <w:pStyle w:val="FirstParagraph"/>
      </w:pPr>
      <w:r>
        <w:rPr>
          <w:b/>
        </w:rPr>
        <w:t xml:space="preserve">三、常见错误</w:t>
      </w:r>
    </w:p>
    <w:p>
      <w:pPr>
        <w:numPr>
          <w:ilvl w:val="0"/>
          <w:numId w:val="1013"/>
        </w:numPr>
        <w:pStyle w:val="Compact"/>
      </w:pPr>
      <w:r>
        <w:rPr>
          <w:b/>
        </w:rPr>
        <w:t xml:space="preserve">把校准当检定</w:t>
      </w:r>
      <w:r>
        <w:t xml:space="preserve">：校准只给出示值误差不给出合格判定，企业若不自行做计量确认，就会出现</w:t>
      </w:r>
      <w:r>
        <w:t xml:space="preserve">“</w:t>
      </w:r>
      <w:r>
        <w:t xml:space="preserve">有证书、无结论</w:t>
      </w:r>
      <w:r>
        <w:t xml:space="preserve">”</w:t>
      </w:r>
      <w:r>
        <w:t xml:space="preserve">的合规漏洞。</w:t>
      </w:r>
    </w:p>
    <w:p>
      <w:pPr>
        <w:numPr>
          <w:ilvl w:val="0"/>
          <w:numId w:val="1013"/>
        </w:numPr>
        <w:pStyle w:val="Compact"/>
      </w:pPr>
      <w:r>
        <w:rPr>
          <w:b/>
        </w:rPr>
        <w:t xml:space="preserve">以证书有效期代替确认日期</w:t>
      </w:r>
      <w:r>
        <w:t xml:space="preserve">：证书出具日期与确认日期不同步，导致确认滞后，期间使用的测量数据无法自证有效。</w:t>
      </w:r>
    </w:p>
    <w:p>
      <w:pPr>
        <w:numPr>
          <w:ilvl w:val="0"/>
          <w:numId w:val="1013"/>
        </w:numPr>
        <w:pStyle w:val="Compact"/>
      </w:pPr>
      <w:r>
        <w:rPr>
          <w:b/>
        </w:rPr>
        <w:t xml:space="preserve">校准点选择不合理</w:t>
      </w:r>
      <w:r>
        <w:t xml:space="preserve">：只校准量程中点或个别点，未覆盖企业实际使用的量程段；应按实际使用区间选点并对接近量程端点补点。</w:t>
      </w:r>
    </w:p>
    <w:p>
      <w:pPr>
        <w:numPr>
          <w:ilvl w:val="0"/>
          <w:numId w:val="1013"/>
        </w:numPr>
        <w:pStyle w:val="Compact"/>
      </w:pPr>
      <w:r>
        <w:rPr>
          <w:b/>
        </w:rPr>
        <w:t xml:space="preserve">忽略调整前示值变化</w:t>
      </w:r>
      <w:r>
        <w:t xml:space="preserve">：证书显示器具被调整但未记录调整量，无法判断此前测量结果是否受影响，追溯无法闭合。</w:t>
      </w:r>
    </w:p>
    <w:p>
      <w:pPr>
        <w:numPr>
          <w:ilvl w:val="0"/>
          <w:numId w:val="1013"/>
        </w:numPr>
        <w:pStyle w:val="Compact"/>
      </w:pPr>
      <w:r>
        <w:rPr>
          <w:b/>
        </w:rPr>
        <w:t xml:space="preserve">期间核查变成</w:t>
      </w:r>
      <w:r>
        <w:rPr>
          <w:b/>
        </w:rPr>
        <w:t xml:space="preserve">“</w:t>
      </w:r>
      <w:r>
        <w:rPr>
          <w:b/>
        </w:rPr>
        <w:t xml:space="preserve">抄上次数据</w:t>
      </w:r>
      <w:r>
        <w:rPr>
          <w:b/>
        </w:rPr>
        <w:t xml:space="preserve">”</w:t>
      </w:r>
      <w:r>
        <w:t xml:space="preserve">：核查没有核查标准、没有原始数据、没有判定计算，审核中属于典型的记录造假风险点。</w:t>
      </w:r>
    </w:p>
    <w:p>
      <w:pPr>
        <w:numPr>
          <w:ilvl w:val="0"/>
          <w:numId w:val="1013"/>
        </w:numPr>
        <w:pStyle w:val="Compact"/>
      </w:pPr>
      <w:r>
        <w:rPr>
          <w:b/>
        </w:rPr>
        <w:t xml:space="preserve">标准器管理漏项</w:t>
      </w:r>
      <w:r>
        <w:t xml:space="preserve">：内校用的量块、标准砝码本身未纳入台账、未定期送校，导致整条溯源链断裂。</w:t>
      </w:r>
    </w:p>
    <w:p>
      <w:pPr>
        <w:numPr>
          <w:ilvl w:val="0"/>
          <w:numId w:val="1013"/>
        </w:numPr>
        <w:pStyle w:val="Compact"/>
      </w:pPr>
      <w:r>
        <w:rPr>
          <w:b/>
        </w:rPr>
        <w:t xml:space="preserve">失准后只换器具不追溯</w:t>
      </w:r>
      <w:r>
        <w:t xml:space="preserve">：器具报废换新，但未评估此前批次产品，风险被留在客户处。</w:t>
      </w:r>
    </w:p>
    <w:p>
      <w:pPr>
        <w:numPr>
          <w:ilvl w:val="0"/>
          <w:numId w:val="1013"/>
        </w:numPr>
        <w:pStyle w:val="Compact"/>
      </w:pPr>
      <w:r>
        <w:rPr>
          <w:b/>
        </w:rPr>
        <w:t xml:space="preserve">标识与台账脱节</w:t>
      </w:r>
      <w:r>
        <w:t xml:space="preserve">：器具已到期但标识未换、台账未更新，实物与记录指向不同的有效期。</w:t>
      </w:r>
    </w:p>
    <w:p>
      <w:r>
        <w:pict>
          <v:rect style="width:0;height:1.5pt" o:hralign="center" o:hrstd="t" o:hr="t"/>
        </w:pict>
      </w:r>
    </w:p>
    <w:p>
      <w:pPr>
        <w:pStyle w:val="BlockText"/>
      </w:pPr>
      <w:r>
        <w:t xml:space="preserve">计量器具管理，本质是让测量的证据站得住脚</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21">
    <w:nsid w:val="71315dca"/>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1">
    <w:nsid w:val="47261bad"/>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2026-09-12T10:35:37Z</dcterms:created>
  <dcterms:modified xsi:type="dcterms:W3CDTF">2026-09-12T10:35:37Z</dcterms:modified>
</cp:coreProperties>
</file>

<file path=docProps/custom.xml><?xml version="1.0" encoding="utf-8"?>
<Properties xmlns="http://schemas.openxmlformats.org/officeDocument/2006/custom-properties" xmlns:vt="http://schemas.openxmlformats.org/officeDocument/2006/docPropsVTypes"/>
</file>