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iso9001体系文件套包34进货检验作业指导书"/>
      <w:r>
        <w:t xml:space="preserve">ISO9001体系文件套包（34）｜进货检验作业指导书</w:t>
      </w:r>
      <w:bookmarkEnd w:id="20"/>
    </w:p>
    <w:p>
      <w:pPr>
        <w:pStyle w:val="FirstParagraph"/>
      </w:pPr>
      <w:r>
        <w:rPr>
          <w:b/>
        </w:rPr>
        <w:t xml:space="preserve">文件说明</w:t>
      </w:r>
      <w:r>
        <w:t xml:space="preserve">：本指导书是《采购与外部提供控制程序》（套包第 16 篇）与《监视和测量资源控制程序》（套包第 10 篇）的下层级配套文件，属于质量管理体系三级文件（作业指导书），用于把 ISO 9001:2015 标准 8.4.2 条</w:t>
      </w:r>
      <w:r>
        <w:t xml:space="preserve">“</w:t>
      </w:r>
      <w:r>
        <w:t xml:space="preserve">外部提供的过程、产品和服务的控制</w:t>
      </w:r>
      <w:r>
        <w:t xml:space="preserve">”</w:t>
      </w:r>
      <w:r>
        <w:t xml:space="preserve">与 8.6 条</w:t>
      </w:r>
      <w:r>
        <w:t xml:space="preserve">“</w:t>
      </w:r>
      <w:r>
        <w:t xml:space="preserve">产品和服务的放行</w:t>
      </w:r>
      <w:r>
        <w:t xml:space="preserve">”</w:t>
      </w:r>
      <w:r>
        <w:t xml:space="preserve">的要求，落到 IQC（进货检验）岗位的具体操作动作上。二级程序文件回答</w:t>
      </w:r>
      <w:r>
        <w:t xml:space="preserve">“</w:t>
      </w:r>
      <w:r>
        <w:t xml:space="preserve">谁负责采购、按什么流程选择与评价供方</w:t>
      </w:r>
      <w:r>
        <w:t xml:space="preserve">”</w:t>
      </w:r>
      <w:r>
        <w:t xml:space="preserve">，本指导书回答</w:t>
      </w:r>
      <w:r>
        <w:t xml:space="preserve">“</w:t>
      </w:r>
      <w:r>
        <w:t xml:space="preserve">货到厂之后，检验批怎么划、抽多少、抽哪几个项目、用什么器具量、判合格不合格、判不合格之后走哪条路</w:t>
      </w:r>
      <w:r>
        <w:t xml:space="preserve">”</w:t>
      </w:r>
      <w:r>
        <w:t xml:space="preserve">。适用于所有对原材料、外购件、外协件、包装材料、辅料实施进货检验的制造型企业；对服务采购（如运输、检测外包）与技术资料类交付物，可按第 4.3 条的分类准则换算为</w:t>
      </w:r>
      <w:r>
        <w:t xml:space="preserve">“</w:t>
      </w:r>
      <w:r>
        <w:t xml:space="preserve">文件核对 + 有效性验证</w:t>
      </w:r>
      <w:r>
        <w:t xml:space="preserve">”</w:t>
      </w:r>
      <w:r>
        <w:t xml:space="preserve">的简化流程执行。本文件可直接作为企业三级文件发布使用，使用时将组织名称、部门代码、物料类别、AQL 值代换为自身实际值即可。</w:t>
      </w:r>
    </w:p>
    <w:p>
      <w:pPr>
        <w:pStyle w:val="Heading2"/>
      </w:pPr>
      <w:bookmarkStart w:id="21" w:name="一目的"/>
      <w:r>
        <w:t xml:space="preserve">一、目的</w:t>
      </w:r>
      <w:bookmarkEnd w:id="21"/>
    </w:p>
    <w:p>
      <w:pPr>
        <w:pStyle w:val="FirstParagraph"/>
      </w:pPr>
      <w:r>
        <w:t xml:space="preserve">为规范本公司进货检验（IQC）活动，明确检验批划分、抽样方案、检验项目、判定准则、状态标识与不合格处置路径，确保未经检验或检验不合格的物料不投入生产，防止不合格的采购产品流入后续过程，特制定本作业指导书。</w:t>
      </w:r>
    </w:p>
    <w:p>
      <w:pPr>
        <w:pStyle w:val="Heading2"/>
      </w:pPr>
      <w:bookmarkStart w:id="22" w:name="二适用范围"/>
      <w:r>
        <w:t xml:space="preserve">二、适用范围</w:t>
      </w:r>
      <w:bookmarkEnd w:id="22"/>
    </w:p>
    <w:p>
      <w:pPr>
        <w:pStyle w:val="FirstParagraph"/>
      </w:pPr>
      <w:r>
        <w:t xml:space="preserve">2.1 本指导书适用于本公司采购的原材料、外购件、外协加工件、包装材料、辅助材料到厂后的检验与判定活动。</w:t>
      </w:r>
    </w:p>
    <w:p>
      <w:pPr>
        <w:pStyle w:val="BodyText"/>
      </w:pPr>
      <w:r>
        <w:t xml:space="preserve">2.2 本指导书覆盖下列环节：报检受理、检验准备、抽样、外观/尺寸/功能/材质检验、判定、状态标识、不合格处置、紧急放行、数据统计与反馈。</w:t>
      </w:r>
    </w:p>
    <w:p>
      <w:pPr>
        <w:pStyle w:val="BodyText"/>
      </w:pPr>
      <w:r>
        <w:t xml:space="preserve">2.3 下列情形可按简化流程执行，但简化准则须经质量部批准并记录：</w:t>
      </w:r>
    </w:p>
    <w:p>
      <w:pPr>
        <w:numPr>
          <w:ilvl w:val="0"/>
          <w:numId w:val="1001"/>
        </w:numPr>
        <w:pStyle w:val="Compact"/>
      </w:pPr>
      <w:r>
        <w:t xml:space="preserve">免检物料：经批准的免检清单内物料（如标准紧固件、普通包装纸箱），凭供方合格证明与包装标识完整性放行；</w:t>
      </w:r>
    </w:p>
    <w:p>
      <w:pPr>
        <w:numPr>
          <w:ilvl w:val="0"/>
          <w:numId w:val="1001"/>
        </w:numPr>
        <w:pStyle w:val="Compact"/>
      </w:pPr>
      <w:r>
        <w:t xml:space="preserve">随批检验物料：供方已提供全项检验报告且历史合格率稳定（连续 10 批以上无不合格）的一般物料，可执行第 4.6 条的放宽检验；</w:t>
      </w:r>
    </w:p>
    <w:p>
      <w:pPr>
        <w:numPr>
          <w:ilvl w:val="0"/>
          <w:numId w:val="1001"/>
        </w:numPr>
        <w:pStyle w:val="Compact"/>
      </w:pPr>
      <w:r>
        <w:t xml:space="preserve">服务类交付物：以核对交付清单、验收报告或能力验证结果的方式验收。</w:t>
      </w:r>
    </w:p>
    <w:p>
      <w:pPr>
        <w:pStyle w:val="Heading2"/>
      </w:pPr>
      <w:bookmarkStart w:id="23" w:name="三职责"/>
      <w:r>
        <w:t xml:space="preserve">三、职责</w:t>
      </w:r>
      <w:bookmarkEnd w:id="23"/>
    </w:p>
    <w:p>
      <w:pPr>
        <w:pStyle w:val="FirstParagraph"/>
      </w:pPr>
      <w:r>
        <w:t xml:space="preserve">3.1</w:t>
      </w:r>
      <w:r>
        <w:t xml:space="preserve"> </w:t>
      </w:r>
      <w:r>
        <w:rPr>
          <w:b/>
        </w:rPr>
        <w:t xml:space="preserve">质量部（IQC 组）</w:t>
      </w:r>
      <w:r>
        <w:t xml:space="preserve">：负责进货检验的组织实施、抽样与判定、状态标识、不合格品初步隔离、检验记录填写与月度数据统计；负责编制与维护 IQC 检验指导书（SIP）；负责免检清单与放宽检验资格的评审提案。</w:t>
      </w:r>
    </w:p>
    <w:p>
      <w:pPr>
        <w:pStyle w:val="BodyText"/>
      </w:pPr>
      <w:r>
        <w:t xml:space="preserve">3.2</w:t>
      </w:r>
      <w:r>
        <w:t xml:space="preserve"> </w:t>
      </w:r>
      <w:r>
        <w:rPr>
          <w:b/>
        </w:rPr>
        <w:t xml:space="preserve">采购部</w:t>
      </w:r>
      <w:r>
        <w:t xml:space="preserve">：负责向供方传递本公司的检验要求与技术协议；负责对检验不合格批的退换货联络与索赔；负责将 IQC 反馈的质量数据纳入供方绩效评价。</w:t>
      </w:r>
    </w:p>
    <w:p>
      <w:pPr>
        <w:pStyle w:val="BodyText"/>
      </w:pPr>
      <w:r>
        <w:t xml:space="preserve">3.3</w:t>
      </w:r>
      <w:r>
        <w:t xml:space="preserve"> </w:t>
      </w:r>
      <w:r>
        <w:rPr>
          <w:b/>
        </w:rPr>
        <w:t xml:space="preserve">仓储部</w:t>
      </w:r>
      <w:r>
        <w:t xml:space="preserve">：负责物料到厂后的收货、暂存待检区、报检；负责未检物料与已判合格物料的分区隔离与标识管理；负责按判定结论办理入库或退货出库。</w:t>
      </w:r>
    </w:p>
    <w:p>
      <w:pPr>
        <w:pStyle w:val="BodyText"/>
      </w:pPr>
      <w:r>
        <w:t xml:space="preserve">3.4</w:t>
      </w:r>
      <w:r>
        <w:t xml:space="preserve"> </w:t>
      </w:r>
      <w:r>
        <w:rPr>
          <w:b/>
        </w:rPr>
        <w:t xml:space="preserve">技术部／工程部</w:t>
      </w:r>
      <w:r>
        <w:t xml:space="preserve">：负责提供采购物料的图纸、技术规格书、检验标准与关键特性清单；负责判定有争议的技术问题；负责批准让步接收的技术可行性意见。</w:t>
      </w:r>
    </w:p>
    <w:p>
      <w:pPr>
        <w:pStyle w:val="BodyText"/>
      </w:pPr>
      <w:r>
        <w:t xml:space="preserve">3.5</w:t>
      </w:r>
      <w:r>
        <w:t xml:space="preserve"> </w:t>
      </w:r>
      <w:r>
        <w:rPr>
          <w:b/>
        </w:rPr>
        <w:t xml:space="preserve">生产部</w:t>
      </w:r>
      <w:r>
        <w:t xml:space="preserve">：负责配合紧急放行物料的追溯与使用过程跟踪；发现紧急放行物料的使用异常时立即停止使用并通报质量部。</w:t>
      </w:r>
    </w:p>
    <w:p>
      <w:pPr>
        <w:pStyle w:val="BodyText"/>
      </w:pPr>
      <w:r>
        <w:t xml:space="preserve">3.6</w:t>
      </w:r>
      <w:r>
        <w:t xml:space="preserve"> </w:t>
      </w:r>
      <w:r>
        <w:rPr>
          <w:b/>
        </w:rPr>
        <w:t xml:space="preserve">管理者代表／质量负责人</w:t>
      </w:r>
      <w:r>
        <w:t xml:space="preserve">：负责批准免检清单、放宽检验资格、紧急放行申请与让步接收结论。</w:t>
      </w:r>
    </w:p>
    <w:p>
      <w:pPr>
        <w:pStyle w:val="Heading2"/>
      </w:pPr>
      <w:bookmarkStart w:id="24" w:name="四工作程序"/>
      <w:r>
        <w:t xml:space="preserve">四、工作程序</w:t>
      </w:r>
      <w:bookmarkEnd w:id="24"/>
    </w:p>
    <w:p>
      <w:pPr>
        <w:pStyle w:val="Heading3"/>
      </w:pPr>
      <w:bookmarkStart w:id="25" w:name="检验准备"/>
      <w:r>
        <w:t xml:space="preserve">4.1 检验准备</w:t>
      </w:r>
      <w:bookmarkEnd w:id="25"/>
    </w:p>
    <w:p>
      <w:pPr>
        <w:pStyle w:val="FirstParagraph"/>
      </w:pPr>
      <w:r>
        <w:t xml:space="preserve">4.1.1 质量部应针对每一类主要采购物料编制《IQC 检验指导书》（SIP），内容至少包括：物料编码与名称、适用图纸／标准编号、检验项目、技术要求（标称值与公差）、检验方法、使用量检具、抽样方案与 AQL、判定准则、记录表单编号。SIP 应经技术部会签、质量负责人批准后生效，并在图纸或技术要求发生变更时同步更新。</w:t>
      </w:r>
    </w:p>
    <w:p>
      <w:pPr>
        <w:pStyle w:val="BodyText"/>
      </w:pPr>
      <w:r>
        <w:t xml:space="preserve">4.1.2 检验员在检验前应确认：手持的 SIP 为现行有效版本；所用图纸为最新版；量检具在校准有效期内且无外观损伤；检验环境（照明、温度、洁净度、防静电）满足要求。</w:t>
      </w:r>
    </w:p>
    <w:p>
      <w:pPr>
        <w:pStyle w:val="BodyText"/>
      </w:pPr>
      <w:r>
        <w:t xml:space="preserve">4.1.3 检验员应经岗位培训并考核合格，具备所检验项目的资质（如无损检测、电气安全测试、材料成分判定等特殊项目须持相应资格证明）。</w:t>
      </w:r>
    </w:p>
    <w:p>
      <w:pPr>
        <w:pStyle w:val="Heading3"/>
      </w:pPr>
      <w:bookmarkStart w:id="26" w:name="报检与检验批的划分"/>
      <w:r>
        <w:t xml:space="preserve">4.2 报检与检验批的划分</w:t>
      </w:r>
      <w:bookmarkEnd w:id="26"/>
    </w:p>
    <w:p>
      <w:pPr>
        <w:pStyle w:val="FirstParagraph"/>
      </w:pPr>
      <w:r>
        <w:t xml:space="preserve">4.2.1 物料到厂后，仓储部按送货单核对品名、规格、数量、批号与包装完整性，粘贴</w:t>
      </w:r>
      <w:r>
        <w:t xml:space="preserve">“</w:t>
      </w:r>
      <w:r>
        <w:t xml:space="preserve">待检</w:t>
      </w:r>
      <w:r>
        <w:t xml:space="preserve">”</w:t>
      </w:r>
      <w:r>
        <w:t xml:space="preserve">标识，存放于待检区，填写报检单交 IQC。</w:t>
      </w:r>
    </w:p>
    <w:p>
      <w:pPr>
        <w:pStyle w:val="BodyText"/>
      </w:pPr>
      <w:r>
        <w:t xml:space="preserve">4.2.2 检验批的划分原则：</w:t>
      </w:r>
    </w:p>
    <w:p>
      <w:pPr>
        <w:numPr>
          <w:ilvl w:val="0"/>
          <w:numId w:val="1002"/>
        </w:numPr>
        <w:pStyle w:val="Compact"/>
      </w:pPr>
      <w:r>
        <w:t xml:space="preserve">同一供方、同一物料编码、同一生产批号、同一到货日期的物料为一个检验批；</w:t>
      </w:r>
    </w:p>
    <w:p>
      <w:pPr>
        <w:numPr>
          <w:ilvl w:val="0"/>
          <w:numId w:val="1002"/>
        </w:numPr>
        <w:pStyle w:val="Compact"/>
      </w:pPr>
      <w:r>
        <w:t xml:space="preserve">若一次到货包含多个供方生产批号，应按生产批号分别划分检验批；</w:t>
      </w:r>
    </w:p>
    <w:p>
      <w:pPr>
        <w:numPr>
          <w:ilvl w:val="0"/>
          <w:numId w:val="1002"/>
        </w:numPr>
        <w:pStyle w:val="Compact"/>
      </w:pPr>
      <w:r>
        <w:t xml:space="preserve">若同一生产批号分多次到货，可合并为一个检验批，但须在记录中注明各次到货数量；</w:t>
      </w:r>
    </w:p>
    <w:p>
      <w:pPr>
        <w:numPr>
          <w:ilvl w:val="0"/>
          <w:numId w:val="1002"/>
        </w:numPr>
        <w:pStyle w:val="Compact"/>
      </w:pPr>
      <w:r>
        <w:t xml:space="preserve">破坏性检验、贵重物料、关键特性物料的检验批划分应从严，不得合并。</w:t>
      </w:r>
    </w:p>
    <w:p>
      <w:pPr>
        <w:pStyle w:val="FirstParagraph"/>
      </w:pPr>
      <w:r>
        <w:t xml:space="preserve">4.2.3 检验批一经划分，其批量 N 应记录在《来料检验记录》中，作为抽样数量的计算依据。</w:t>
      </w:r>
    </w:p>
    <w:p>
      <w:pPr>
        <w:pStyle w:val="Heading3"/>
      </w:pPr>
      <w:bookmarkStart w:id="27" w:name="抽样方案的确定"/>
      <w:r>
        <w:t xml:space="preserve">4.3 抽样方案的确定</w:t>
      </w:r>
      <w:bookmarkEnd w:id="27"/>
    </w:p>
    <w:p>
      <w:pPr>
        <w:pStyle w:val="FirstParagraph"/>
      </w:pPr>
      <w:r>
        <w:t xml:space="preserve">4.3.1 常规计数检验按 GB/T 2828.1（等同 ISO 2859-1）执行：检验水平一般取</w:t>
      </w:r>
      <w:r>
        <w:t xml:space="preserve">“</w:t>
      </w:r>
      <w:r>
        <w:t xml:space="preserve">一般检验水平 Ⅱ</w:t>
      </w:r>
      <w:r>
        <w:t xml:space="preserve">”</w:t>
      </w:r>
      <w:r>
        <w:t xml:space="preserve">，抽样方案类型取</w:t>
      </w:r>
      <w:r>
        <w:t xml:space="preserve">“</w:t>
      </w:r>
      <w:r>
        <w:t xml:space="preserve">正常检验一次抽样方案</w:t>
      </w:r>
      <w:r>
        <w:t xml:space="preserve">”</w:t>
      </w:r>
      <w:r>
        <w:t xml:space="preserve">。AQL 值按物料重要度分级设定，建议基准如下（企业可按行业与客户要求调整并在 SIP 中明示）：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物料类别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典型示例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建议 AQL（正常检验）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关键物料</w:t>
            </w:r>
          </w:p>
        </w:tc>
        <w:tc>
          <w:p>
            <w:pPr>
              <w:pStyle w:val="Compact"/>
              <w:jc w:val="left"/>
            </w:pPr>
            <w:r>
              <w:t xml:space="preserve">影响安全、法规符合性或客户关键特性的零件</w:t>
            </w:r>
          </w:p>
        </w:tc>
        <w:tc>
          <w:p>
            <w:pPr>
              <w:pStyle w:val="Compact"/>
              <w:jc w:val="left"/>
            </w:pPr>
            <w:r>
              <w:t xml:space="preserve">0.65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重要物料</w:t>
            </w:r>
          </w:p>
        </w:tc>
        <w:tc>
          <w:p>
            <w:pPr>
              <w:pStyle w:val="Compact"/>
              <w:jc w:val="left"/>
            </w:pPr>
            <w:r>
              <w:t xml:space="preserve">影响主要功能或装配性能的零件</w:t>
            </w:r>
          </w:p>
        </w:tc>
        <w:tc>
          <w:p>
            <w:pPr>
              <w:pStyle w:val="Compact"/>
              <w:jc w:val="left"/>
            </w:pPr>
            <w:r>
              <w:t xml:space="preserve">1.0 ～ 1.5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一般物料</w:t>
            </w:r>
          </w:p>
        </w:tc>
        <w:tc>
          <w:p>
            <w:pPr>
              <w:pStyle w:val="Compact"/>
              <w:jc w:val="left"/>
            </w:pPr>
            <w:r>
              <w:t xml:space="preserve">影响外观、非关键尺寸的零件与辅料</w:t>
            </w:r>
          </w:p>
        </w:tc>
        <w:tc>
          <w:p>
            <w:pPr>
              <w:pStyle w:val="Compact"/>
              <w:jc w:val="left"/>
            </w:pPr>
            <w:r>
              <w:t xml:space="preserve">2.5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包装材料</w:t>
            </w:r>
          </w:p>
        </w:tc>
        <w:tc>
          <w:p>
            <w:pPr>
              <w:pStyle w:val="Compact"/>
              <w:jc w:val="left"/>
            </w:pPr>
            <w:r>
              <w:t xml:space="preserve">纸箱、标签、缓冲材</w:t>
            </w:r>
          </w:p>
        </w:tc>
        <w:tc>
          <w:p>
            <w:pPr>
              <w:pStyle w:val="Compact"/>
              <w:jc w:val="left"/>
            </w:pPr>
            <w:r>
              <w:t xml:space="preserve">4.0</w:t>
            </w:r>
          </w:p>
        </w:tc>
      </w:tr>
    </w:tbl>
    <w:p>
      <w:pPr>
        <w:pStyle w:val="BodyText"/>
      </w:pPr>
      <w:r>
        <w:t xml:space="preserve">4.3.2 抽样查表操作：由批量 N 与检验水平查得样本量字码，再按该字码与 AQL 查得样本量 n、接收数 Ac 与拒收数 Re。例如批量 N = 1200 的某重要物料，一般检验水平 Ⅱ 对应样本量字码 J，AQL 1.0 对应 n = 80、Ac = 2、Re = 3，即 80 件样本中不合格品数 ≤ 2 判接收，≥ 3 判拒收。</w:t>
      </w:r>
    </w:p>
    <w:p>
      <w:pPr>
        <w:pStyle w:val="BodyText"/>
      </w:pPr>
      <w:r>
        <w:t xml:space="preserve">4.3.3 计量检验（连续数据）可按 GB/T 6378 或采用 SPC 方法（均值－极差控制图、过程能力指数）判定；关键特性宜采用计量抽样或 100% 全检并记录实测值。</w:t>
      </w:r>
    </w:p>
    <w:p>
      <w:pPr>
        <w:pStyle w:val="BodyText"/>
      </w:pPr>
      <w:r>
        <w:t xml:space="preserve">4.3.4 免于常规抽样的情形：破坏性试验项目（如拉力、盐雾、耐压）通常按每批抽取 1 ～ 3 件或按频率抽取；需全检的项目（如关键安全特性）不受抽样方案限制，执行 100% 检验。</w:t>
      </w:r>
    </w:p>
    <w:p>
      <w:pPr>
        <w:pStyle w:val="BodyText"/>
      </w:pPr>
      <w:r>
        <w:t xml:space="preserve">4.3.5 抽样应随机进行，覆盖不同包装单元、不同托盘层位；不得由供方代表指定或挑选样本。若样本中检出不合格品，不得以</w:t>
      </w:r>
      <w:r>
        <w:t xml:space="preserve">“</w:t>
      </w:r>
      <w:r>
        <w:t xml:space="preserve">换一批样</w:t>
      </w:r>
      <w:r>
        <w:t xml:space="preserve">”</w:t>
      </w:r>
      <w:r>
        <w:t xml:space="preserve">的方式重新抽样。</w:t>
      </w:r>
    </w:p>
    <w:p>
      <w:pPr>
        <w:pStyle w:val="Heading3"/>
      </w:pPr>
      <w:bookmarkStart w:id="28" w:name="检验实施"/>
      <w:r>
        <w:t xml:space="preserve">4.4 检验实施</w:t>
      </w:r>
      <w:bookmarkEnd w:id="28"/>
    </w:p>
    <w:p>
      <w:pPr>
        <w:pStyle w:val="FirstParagraph"/>
      </w:pPr>
      <w:r>
        <w:t xml:space="preserve">4.4.1 外观检验：按 SIP 规定的项目逐一核对（表面缺陷、毛刺、划伤、变形、锈蚀、色差、印刷内容、标识与追溯码）。</w:t>
      </w:r>
    </w:p>
    <w:p>
      <w:pPr>
        <w:pStyle w:val="BodyText"/>
      </w:pPr>
      <w:r>
        <w:t xml:space="preserve">4.4.2 尺寸检验：按图纸标注的标称值与公差测量；关键尺寸、配合尺寸、装配干涉尺寸必检；测量结果记录实测值，不得只填</w:t>
      </w:r>
      <w:r>
        <w:t xml:space="preserve">“</w:t>
      </w:r>
      <w:r>
        <w:t xml:space="preserve">合格</w:t>
      </w:r>
      <w:r>
        <w:t xml:space="preserve">”</w:t>
      </w:r>
      <w:r>
        <w:t xml:space="preserve">。测量时应确认量具的分辨力优于公差带宽度的 1/10。</w:t>
      </w:r>
    </w:p>
    <w:p>
      <w:pPr>
        <w:pStyle w:val="BodyText"/>
      </w:pPr>
      <w:r>
        <w:t xml:space="preserve">4.4.3 功能与性能检验：按 SIP 规定的项目进行（如通电测试、气密测试、插拔力、阻值、绝缘电阻）。</w:t>
      </w:r>
    </w:p>
    <w:p>
      <w:pPr>
        <w:pStyle w:val="BodyText"/>
      </w:pPr>
      <w:r>
        <w:t xml:space="preserve">4.4.4 材质与合规性核对：核对材质证明、成分报告、RoHS/REACH 声明等文件的齐全性与批次对应性；必要时按抽样送检或使用快速检测设备（如 XRF 光谱仪）验证。</w:t>
      </w:r>
    </w:p>
    <w:p>
      <w:pPr>
        <w:pStyle w:val="BodyText"/>
      </w:pPr>
      <w:r>
        <w:t xml:space="preserve">4.4.5 包装与标识核对：核对包装数量、标签内容（物料编码、批号、生产日期、有效期）、防潮防静电措施、堆放与运输损伤情况。</w:t>
      </w:r>
    </w:p>
    <w:p>
      <w:pPr>
        <w:pStyle w:val="BodyText"/>
      </w:pPr>
      <w:r>
        <w:t xml:space="preserve">4.4.6 判定：全部检验项目符合要求判</w:t>
      </w:r>
      <w:r>
        <w:t xml:space="preserve">“</w:t>
      </w:r>
      <w:r>
        <w:t xml:space="preserve">合格</w:t>
      </w:r>
      <w:r>
        <w:t xml:space="preserve">”</w:t>
      </w:r>
      <w:r>
        <w:t xml:space="preserve">；出现任一项目不符合判</w:t>
      </w:r>
      <w:r>
        <w:t xml:space="preserve">“</w:t>
      </w:r>
      <w:r>
        <w:t xml:space="preserve">不合格</w:t>
      </w:r>
      <w:r>
        <w:t xml:space="preserve">”</w:t>
      </w:r>
      <w:r>
        <w:t xml:space="preserve">。对经过测量但处于临界值的结果，应复核测量系统与操作，确认后按不合格处理。判定的原始数据必须可追溯到具体样本编号。</w:t>
      </w:r>
    </w:p>
    <w:p>
      <w:pPr>
        <w:pStyle w:val="Heading3"/>
      </w:pPr>
      <w:bookmarkStart w:id="29" w:name="检验状态标识"/>
      <w:r>
        <w:t xml:space="preserve">4.5 检验状态标识</w:t>
      </w:r>
      <w:bookmarkEnd w:id="29"/>
    </w:p>
    <w:p>
      <w:pPr>
        <w:pStyle w:val="FirstParagraph"/>
      </w:pPr>
      <w:r>
        <w:t xml:space="preserve">4.5.1 检验后物料应按状态分区存放并挂（贴）相应标识：</w:t>
      </w:r>
    </w:p>
    <w:p>
      <w:pPr>
        <w:numPr>
          <w:ilvl w:val="0"/>
          <w:numId w:val="1003"/>
        </w:numPr>
        <w:pStyle w:val="Compact"/>
      </w:pPr>
      <w:r>
        <w:t xml:space="preserve">待检：黄色标识，存放待检区；</w:t>
      </w:r>
    </w:p>
    <w:p>
      <w:pPr>
        <w:numPr>
          <w:ilvl w:val="0"/>
          <w:numId w:val="1003"/>
        </w:numPr>
        <w:pStyle w:val="Compact"/>
      </w:pPr>
      <w:r>
        <w:t xml:space="preserve">合格：绿色标识，可办理入库；</w:t>
      </w:r>
    </w:p>
    <w:p>
      <w:pPr>
        <w:numPr>
          <w:ilvl w:val="0"/>
          <w:numId w:val="1003"/>
        </w:numPr>
        <w:pStyle w:val="Compact"/>
      </w:pPr>
      <w:r>
        <w:t xml:space="preserve">不合格：红色标识，存放不合格品隔离区；</w:t>
      </w:r>
    </w:p>
    <w:p>
      <w:pPr>
        <w:numPr>
          <w:ilvl w:val="0"/>
          <w:numId w:val="1003"/>
        </w:numPr>
        <w:pStyle w:val="Compact"/>
      </w:pPr>
      <w:r>
        <w:t xml:space="preserve">让步接收：蓝色或带</w:t>
      </w:r>
      <w:r>
        <w:t xml:space="preserve">“</w:t>
      </w:r>
      <w:r>
        <w:t xml:space="preserve">让步接收（附条件）</w:t>
      </w:r>
      <w:r>
        <w:t xml:space="preserve">”</w:t>
      </w:r>
      <w:r>
        <w:t xml:space="preserve">字样标识。</w:t>
      </w:r>
    </w:p>
    <w:p>
      <w:pPr>
        <w:pStyle w:val="FirstParagraph"/>
      </w:pPr>
      <w:r>
        <w:t xml:space="preserve">4.5.2 标识应包含物料编码、批号、数量、检验日期、检验员与判定结论。待检物料在未取得判定结论前不得移出待检区。</w:t>
      </w:r>
    </w:p>
    <w:p>
      <w:pPr>
        <w:pStyle w:val="Heading3"/>
      </w:pPr>
      <w:bookmarkStart w:id="30" w:name="判定后的处置与放宽加严"/>
      <w:r>
        <w:t xml:space="preserve">4.6 判定后的处置与放宽／加严</w:t>
      </w:r>
      <w:bookmarkEnd w:id="30"/>
    </w:p>
    <w:p>
      <w:pPr>
        <w:pStyle w:val="FirstParagraph"/>
      </w:pPr>
      <w:r>
        <w:t xml:space="preserve">4.6.1 判合格：检验员在《来料检验记录》上签署结论，仓储部凭记录办理入库。</w:t>
      </w:r>
    </w:p>
    <w:p>
      <w:pPr>
        <w:pStyle w:val="BodyText"/>
      </w:pPr>
      <w:r>
        <w:t xml:space="preserve">4.6.2 判不合格：按不合格情形分别处置——</w:t>
      </w:r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退货</w:t>
      </w:r>
      <w:r>
        <w:t xml:space="preserve">：整批不合格或不合格项影响功能与安全，由采购部联络供方退货或换货；</w:t>
      </w:r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全检挑选</w:t>
      </w:r>
      <w:r>
        <w:t xml:space="preserve">：不合格项可挑选且经质量部评估经济可行，全检挑选费用原则上由供方承担，挑选后合格品重新判定；</w:t>
      </w:r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让步接收</w:t>
      </w:r>
      <w:r>
        <w:t xml:space="preserve">：不合格项不影响最终产品功能、安全与法规符合性，经技术评审与质量负责人批准后让步接收，必要时对后续工序采取补偿措施；</w:t>
      </w:r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报废</w:t>
      </w:r>
      <w:r>
        <w:t xml:space="preserve">：无法退货、无法挑选且无让步价值的物料，按废弃物管理规定处理。</w:t>
      </w:r>
    </w:p>
    <w:p>
      <w:pPr>
        <w:pStyle w:val="FirstParagraph"/>
      </w:pPr>
      <w:r>
        <w:t xml:space="preserve">4.6.3 放宽检验：物料连续 10 批正常检验合格且供方质量体系稳定时，经质量负责人批准可将检验水平降至</w:t>
      </w:r>
      <w:r>
        <w:t xml:space="preserve">“</w:t>
      </w:r>
      <w:r>
        <w:t xml:space="preserve">一般检验水平 Ⅰ</w:t>
      </w:r>
      <w:r>
        <w:t xml:space="preserve">”</w:t>
      </w:r>
      <w:r>
        <w:t xml:space="preserve">或提高 AQL 值；放宽期间一旦出现不合格批，立即恢复至正常检验。</w:t>
      </w:r>
    </w:p>
    <w:p>
      <w:pPr>
        <w:pStyle w:val="BodyText"/>
      </w:pPr>
      <w:r>
        <w:t xml:space="preserve">4.6.4 加严检验：出现下列情形之一时执行加严检验（降低检验水平至 Ⅲ 或降低 AQL 值）：连续 2 批拒收；同一不合格现象重复出现；发生供方未经批准变更材料、工艺或生产地点；客户或法规要求加严。</w:t>
      </w:r>
    </w:p>
    <w:p>
      <w:pPr>
        <w:pStyle w:val="Heading3"/>
      </w:pPr>
      <w:bookmarkStart w:id="31" w:name="紧急放行"/>
      <w:r>
        <w:t xml:space="preserve">4.7 紧急放行</w:t>
      </w:r>
      <w:bookmarkEnd w:id="31"/>
    </w:p>
    <w:p>
      <w:pPr>
        <w:pStyle w:val="FirstParagraph"/>
      </w:pPr>
      <w:r>
        <w:t xml:space="preserve">4.7.1 生产急需且来不及完成全部检验项目时，可申请紧急放行，条件是：物料具备可追溯性（批号与追溯码清晰）；放行涉及的未检项目不影响产品安全与法规符合性；有明确的使用过程跟踪与追回措施。</w:t>
      </w:r>
    </w:p>
    <w:p>
      <w:pPr>
        <w:pStyle w:val="BodyText"/>
      </w:pPr>
      <w:r>
        <w:t xml:space="preserve">4.7.2 紧急放行按下列流程办理：生产部提出申请 → 技术部评估技术风险 → 质量负责人批准 → 在物料上加贴</w:t>
      </w:r>
      <w:r>
        <w:t xml:space="preserve">“</w:t>
      </w:r>
      <w:r>
        <w:t xml:space="preserve">紧急放行</w:t>
      </w:r>
      <w:r>
        <w:t xml:space="preserve">”</w:t>
      </w:r>
      <w:r>
        <w:t xml:space="preserve">标识并在《紧急放行申请单》登记批号、数量、未检项目、使用工序 → IQC 在 1 ～ 2 个工作日内补做检验 → 若补检不合格，立即通知生产部停止使用、隔离并追回已投产部分。</w:t>
      </w:r>
    </w:p>
    <w:p>
      <w:pPr>
        <w:pStyle w:val="BodyText"/>
      </w:pPr>
      <w:r>
        <w:t xml:space="preserve">4.7.3 紧急放行不得用于：安全特性、法规强制要求项目、客户明确要求全检的项目。</w:t>
      </w:r>
    </w:p>
    <w:p>
      <w:pPr>
        <w:pStyle w:val="Heading3"/>
      </w:pPr>
      <w:bookmarkStart w:id="32" w:name="数据统计与反馈"/>
      <w:r>
        <w:t xml:space="preserve">4.8 数据统计与反馈</w:t>
      </w:r>
      <w:bookmarkEnd w:id="32"/>
    </w:p>
    <w:p>
      <w:pPr>
        <w:pStyle w:val="FirstParagraph"/>
      </w:pPr>
      <w:r>
        <w:t xml:space="preserve">4.8.1 IQC 应每月统计进货检验数据，形成《IQC 月度统计表》，内容至少包括：报检批次数、合格批次、不合格批次、批合格率、按不合格类型分类的缺陷分布、涉及供方清单。</w:t>
      </w:r>
    </w:p>
    <w:p>
      <w:pPr>
        <w:pStyle w:val="BodyText"/>
      </w:pPr>
      <w:r>
        <w:t xml:space="preserve">4.8.2 来料批合格率低于 95% 的供方，或月度内出现 2 次及以上同类不合格的供方，由质量部发出《纠正措施要求》并纳入供方绩效评价；连续 3 个月不合格的供方，由采购部启动供方资格重新评审。</w:t>
      </w:r>
    </w:p>
    <w:p>
      <w:pPr>
        <w:pStyle w:val="Heading3"/>
      </w:pPr>
      <w:bookmarkStart w:id="33" w:name="流程图文字版"/>
      <w:r>
        <w:t xml:space="preserve">4.9 流程图（文字版）</w:t>
      </w:r>
      <w:bookmarkEnd w:id="33"/>
    </w:p>
    <w:p>
      <w:pPr>
        <w:pStyle w:val="FirstParagraph"/>
      </w:pPr>
      <w:r>
        <w:t xml:space="preserve">物料到厂 → 仓管核对送货单／数量／批号，贴</w:t>
      </w:r>
      <w:r>
        <w:t xml:space="preserve">“</w:t>
      </w:r>
      <w:r>
        <w:t xml:space="preserve">待检</w:t>
      </w:r>
      <w:r>
        <w:t xml:space="preserve">”</w:t>
      </w:r>
      <w:r>
        <w:t xml:space="preserve">标识，待检区存放 → 填写报检单交 IQC → IQC 确认 SIP、图纸、量具校准状态 → 划分检验批（确定批量 N） → 按 GB/T 2828.1 查表确定 n／Ac／Re（或按 SIP 规定的项目） → 随机抽样 → 外观／尺寸／功能／材质／包装检验 → 判定 →</w:t>
      </w:r>
      <w:r>
        <w:t xml:space="preserve"> </w:t>
      </w:r>
      <w:r>
        <w:t xml:space="preserve">① 合格 → 绿色标识 → 入库（记《来料检验记录》）；</w:t>
      </w:r>
      <w:r>
        <w:t xml:space="preserve"> </w:t>
      </w:r>
      <w:r>
        <w:t xml:space="preserve">② 不合格 → 红色标识 → 隔离 → 退货／全检挑选／让步接收／报废（记《不合格品处理单》）；</w:t>
      </w:r>
      <w:r>
        <w:t xml:space="preserve"> </w:t>
      </w:r>
      <w:r>
        <w:t xml:space="preserve">③ 生产急需 → 紧急放行申请 → 评估 → 批准 → 标识与登记 → 使用跟踪 → 补检 → 合格闭环／不合格追回。</w:t>
      </w:r>
      <w:r>
        <w:t xml:space="preserve"> </w:t>
      </w:r>
      <w:r>
        <w:t xml:space="preserve">月末：汇总数据 → 供方绩效评价 → 促供方改进。</w:t>
      </w:r>
    </w:p>
    <w:p>
      <w:pPr>
        <w:pStyle w:val="Heading2"/>
      </w:pPr>
      <w:bookmarkStart w:id="34" w:name="五相关记录"/>
      <w:r>
        <w:t xml:space="preserve">五、相关记录</w:t>
      </w:r>
      <w:bookmarkEnd w:id="34"/>
    </w:p>
    <w:p>
      <w:pPr>
        <w:pStyle w:val="Heading3"/>
      </w:pPr>
      <w:bookmarkStart w:id="35" w:name="来料检验记录qr-iqc-01"/>
      <w:r>
        <w:t xml:space="preserve">5.1 《来料检验记录》（QR-IQC-01）</w:t>
      </w:r>
      <w:bookmarkEnd w:id="35"/>
    </w:p>
    <w:p>
      <w:pPr>
        <w:pStyle w:val="FirstParagraph"/>
      </w:pPr>
      <w:r>
        <w:t xml:space="preserve">字段清单：记录编号、到货日期、供方名称、物料编码、物料名称、规格型号、供方生产批号、本公司批号、送货数量、检验批量 N、样本量 n、Ac／Re、检验项目、技术要求、实测值（逐件填写）、量具编号、检验结论（接收／拒收）、不合格描述、检验员、审核人。</w:t>
      </w:r>
    </w:p>
    <w:p>
      <w:pPr>
        <w:pStyle w:val="BodyText"/>
      </w:pPr>
      <w:r>
        <w:t xml:space="preserve">填写说明：实测值栏须填写具体数值而非</w:t>
      </w:r>
      <w:r>
        <w:t xml:space="preserve">“</w:t>
      </w:r>
      <w:r>
        <w:t xml:space="preserve">OK/合格</w:t>
      </w:r>
      <w:r>
        <w:t xml:space="preserve">”</w:t>
      </w:r>
      <w:r>
        <w:t xml:space="preserve">；判拒收时在</w:t>
      </w:r>
      <w:r>
        <w:t xml:space="preserve">“</w:t>
      </w:r>
      <w:r>
        <w:t xml:space="preserve">不合格描述</w:t>
      </w:r>
      <w:r>
        <w:t xml:space="preserve">”</w:t>
      </w:r>
      <w:r>
        <w:t xml:space="preserve">栏写明不符合的具体项目与实测值；量具编号须与实际使用器具一一对应。</w:t>
      </w:r>
    </w:p>
    <w:p>
      <w:pPr>
        <w:pStyle w:val="BodyText"/>
      </w:pPr>
      <w:r>
        <w:t xml:space="preserve">示例行：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项目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技术要求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实测值（样本 1／2／3…）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量具编号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判定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外径</w:t>
            </w:r>
          </w:p>
        </w:tc>
        <w:tc>
          <w:p>
            <w:pPr>
              <w:pStyle w:val="Compact"/>
              <w:jc w:val="left"/>
            </w:pPr>
            <w:r>
              <w:t xml:space="preserve">10.00 ± 0.05 mm</w:t>
            </w:r>
          </w:p>
        </w:tc>
        <w:tc>
          <w:p>
            <w:pPr>
              <w:pStyle w:val="Compact"/>
              <w:jc w:val="left"/>
            </w:pPr>
            <w:r>
              <w:t xml:space="preserve">10.02／10.01／9.99</w:t>
            </w:r>
          </w:p>
        </w:tc>
        <w:tc>
          <w:p>
            <w:pPr>
              <w:pStyle w:val="Compact"/>
              <w:jc w:val="left"/>
            </w:pPr>
            <w:r>
              <w:t xml:space="preserve">QL-0132</w:t>
            </w:r>
          </w:p>
        </w:tc>
        <w:tc>
          <w:p>
            <w:pPr>
              <w:pStyle w:val="Compact"/>
              <w:jc w:val="left"/>
            </w:pPr>
            <w:r>
              <w:t xml:space="preserve">合格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表面缺陷</w:t>
            </w:r>
          </w:p>
        </w:tc>
        <w:tc>
          <w:p>
            <w:pPr>
              <w:pStyle w:val="Compact"/>
              <w:jc w:val="left"/>
            </w:pPr>
            <w:r>
              <w:t xml:space="preserve">无划伤、无毛刺</w:t>
            </w:r>
          </w:p>
        </w:tc>
        <w:tc>
          <w:p>
            <w:pPr>
              <w:pStyle w:val="Compact"/>
              <w:jc w:val="left"/>
            </w:pPr>
            <w:r>
              <w:t xml:space="preserve">样本 12 存在 2 mm 划痕</w:t>
            </w:r>
          </w:p>
        </w:tc>
        <w:tc>
          <w:p>
            <w:pPr>
              <w:pStyle w:val="Compact"/>
              <w:jc w:val="left"/>
            </w:pPr>
            <w:r>
              <w:t xml:space="preserve">目视</w:t>
            </w:r>
          </w:p>
        </w:tc>
        <w:tc>
          <w:p>
            <w:pPr>
              <w:pStyle w:val="Compact"/>
              <w:jc w:val="left"/>
            </w:pPr>
            <w:r>
              <w:t xml:space="preserve">不合格</w:t>
            </w:r>
          </w:p>
        </w:tc>
      </w:tr>
    </w:tbl>
    <w:p>
      <w:pPr>
        <w:pStyle w:val="Heading3"/>
      </w:pPr>
      <w:bookmarkStart w:id="36" w:name="iqc-检验指导书sipqr-iqc-02"/>
      <w:r>
        <w:t xml:space="preserve">5.2 《IQC 检验指导书（SIP）》（QR-IQC-02）</w:t>
      </w:r>
      <w:bookmarkEnd w:id="36"/>
    </w:p>
    <w:p>
      <w:pPr>
        <w:pStyle w:val="FirstParagraph"/>
      </w:pPr>
      <w:r>
        <w:t xml:space="preserve">字段清单：物料编码、物料名称、工序／工位、序号、检验项目、技术要求、检验方法、使用量检具、抽样方案（检验水平／AQL）、记录表单、版本号、编制／审核／批准。</w:t>
      </w:r>
    </w:p>
    <w:p>
      <w:pPr>
        <w:pStyle w:val="Heading3"/>
      </w:pPr>
      <w:bookmarkStart w:id="37" w:name="不合格品处理单qr-iqc-03"/>
      <w:r>
        <w:t xml:space="preserve">5.3 《不合格品处理单》（QR-IQC-03）</w:t>
      </w:r>
      <w:bookmarkEnd w:id="37"/>
    </w:p>
    <w:p>
      <w:pPr>
        <w:pStyle w:val="FirstParagraph"/>
      </w:pPr>
      <w:r>
        <w:t xml:space="preserve">字段清单：单据编号、物料编码与名称、供方、批号、批量、不合格数量、不合格描述、缺陷分类（致命／严重／轻微）、技术评审意见、处置方式（退货／全检挑选／让步接收／报废）、责任部门、批准人、处置结果验证、关闭日期。</w:t>
      </w:r>
    </w:p>
    <w:p>
      <w:pPr>
        <w:pStyle w:val="Heading3"/>
      </w:pPr>
      <w:bookmarkStart w:id="38" w:name="紧急放行申请单qr-iqc-04"/>
      <w:r>
        <w:t xml:space="preserve">5.4 《紧急放行申请单》（QR-IQC-04）</w:t>
      </w:r>
      <w:bookmarkEnd w:id="38"/>
    </w:p>
    <w:p>
      <w:pPr>
        <w:pStyle w:val="FirstParagraph"/>
      </w:pPr>
      <w:r>
        <w:t xml:space="preserve">字段清单：申请编号、物料编码与名称、批号、数量、申请部门、申请理由、未检项目、风险评估结论、使用工序、追溯措施、批准人、补检完成日期、补检结果、闭环确认。</w:t>
      </w:r>
    </w:p>
    <w:p>
      <w:pPr>
        <w:pStyle w:val="Heading3"/>
      </w:pPr>
      <w:bookmarkStart w:id="39" w:name="iqc-月度统计表qr-iqc-05"/>
      <w:r>
        <w:t xml:space="preserve">5.5 《IQC 月度统计表》（QR-IQC-05）</w:t>
      </w:r>
      <w:bookmarkEnd w:id="39"/>
    </w:p>
    <w:p>
      <w:pPr>
        <w:pStyle w:val="FirstParagraph"/>
      </w:pPr>
      <w:r>
        <w:t xml:space="preserve">字段清单：统计月份、供方名称、报检批次数、合格批次数、不合格批次数、批合格率、缺陷类型分布、纠正措施要求发出份数、需重新评审的供方。</w:t>
      </w:r>
    </w:p>
    <w:p>
      <w:pPr>
        <w:pStyle w:val="Heading2"/>
      </w:pPr>
      <w:bookmarkStart w:id="40" w:name="六相关文件"/>
      <w:r>
        <w:t xml:space="preserve">六、相关文件</w:t>
      </w:r>
      <w:bookmarkEnd w:id="40"/>
    </w:p>
    <w:p>
      <w:pPr>
        <w:pStyle w:val="FirstParagraph"/>
      </w:pPr>
      <w:r>
        <w:t xml:space="preserve">6.1 《采购与外部提供控制程序》（套包第 16 篇，对应 8.4）</w:t>
      </w:r>
      <w:r>
        <w:t xml:space="preserve"> </w:t>
      </w:r>
      <w:r>
        <w:t xml:space="preserve">6.2 《监视和测量资源控制程序》（套包第 10 篇，对应 7.1.5）</w:t>
      </w:r>
      <w:r>
        <w:t xml:space="preserve"> </w:t>
      </w:r>
      <w:r>
        <w:t xml:space="preserve">6.3 《标识和可追溯性控制程序》（套包第 18 篇，对应 8.5.2）</w:t>
      </w:r>
      <w:r>
        <w:t xml:space="preserve"> </w:t>
      </w:r>
      <w:r>
        <w:t xml:space="preserve">6.4 《不合格品控制程序》（套包第 22 篇，对应 8.7）</w:t>
      </w:r>
      <w:r>
        <w:t xml:space="preserve"> </w:t>
      </w:r>
      <w:r>
        <w:t xml:space="preserve">6.5 《不合格与纠正措施程序》（套包第 27 篇，对应 10.2）</w:t>
      </w:r>
      <w:r>
        <w:t xml:space="preserve"> </w:t>
      </w:r>
      <w:r>
        <w:t xml:space="preserve">6.6 《过程检验作业指导书》《成品检验作业指导书》（本系列第 35、36 篇对应文件）</w:t>
      </w:r>
      <w:r>
        <w:t xml:space="preserve"> </w:t>
      </w:r>
      <w:r>
        <w:t xml:space="preserve">6.7 GB/T 2828.1《计数抽样检验程序　第 1 部分：按接收质量限（AQL）检索的逐批检验抽样计划》</w:t>
      </w:r>
    </w:p>
    <w:p>
      <w:pPr>
        <w:pStyle w:val="Heading2"/>
      </w:pPr>
      <w:bookmarkStart w:id="41" w:name="使用说明"/>
      <w:r>
        <w:t xml:space="preserve">使用说明</w:t>
      </w:r>
      <w:bookmarkEnd w:id="41"/>
    </w:p>
    <w:p>
      <w:pPr>
        <w:pStyle w:val="FirstParagraph"/>
      </w:pPr>
      <w:r>
        <w:rPr>
          <w:b/>
        </w:rPr>
        <w:t xml:space="preserve">一、如何按企业实际修改</w:t>
      </w:r>
    </w:p>
    <w:p>
      <w:pPr>
        <w:numPr>
          <w:ilvl w:val="0"/>
          <w:numId w:val="1005"/>
        </w:numPr>
      </w:pPr>
      <w:r>
        <w:rPr>
          <w:b/>
        </w:rPr>
        <w:t xml:space="preserve">物料类别与 AQL 值</w:t>
      </w:r>
      <w:r>
        <w:t xml:space="preserve">：第 4.3.1 条的分级表是通用基准，企业应按自身产品特性与客户要求调整。汽车、医疗器械、航空等行业通常有更严格的客户特殊要求（CSR），此时应以客户指定值为准并在 SIP 中注明来源。AQL 值的确定应有依据（客户要求、历史质量水平、后果严重度），不建议直接沿用同行的数值而不做论证。</w:t>
      </w:r>
    </w:p>
    <w:p>
      <w:pPr>
        <w:numPr>
          <w:ilvl w:val="0"/>
          <w:numId w:val="1005"/>
        </w:numPr>
      </w:pPr>
      <w:r>
        <w:rPr>
          <w:b/>
        </w:rPr>
        <w:t xml:space="preserve">检验项目与抽样方案</w:t>
      </w:r>
      <w:r>
        <w:t xml:space="preserve">：把 SIP 作为</w:t>
      </w:r>
      <w:r>
        <w:t xml:space="preserve">“</w:t>
      </w:r>
      <w:r>
        <w:t xml:space="preserve">活文件</w:t>
      </w:r>
      <w:r>
        <w:t xml:space="preserve">”</w:t>
      </w:r>
      <w:r>
        <w:t xml:space="preserve">，每类主要物料一份。若企业暂时没有 SIP，可用图纸加《来料检验记录》作为过渡，但要先明确必检项目与判定准则，避免</w:t>
      </w:r>
      <w:r>
        <w:t xml:space="preserve">“</w:t>
      </w:r>
      <w:r>
        <w:t xml:space="preserve">检验员凭经验决定检什么</w:t>
      </w:r>
      <w:r>
        <w:t xml:space="preserve">”</w:t>
      </w:r>
      <w:r>
        <w:t xml:space="preserve">。</w:t>
      </w:r>
    </w:p>
    <w:p>
      <w:pPr>
        <w:numPr>
          <w:ilvl w:val="0"/>
          <w:numId w:val="1005"/>
        </w:numPr>
      </w:pPr>
      <w:r>
        <w:rPr>
          <w:b/>
        </w:rPr>
        <w:t xml:space="preserve">组织与岗位</w:t>
      </w:r>
      <w:r>
        <w:t xml:space="preserve">：中小企业可将 IQC 与过程检验合并由同一人承担，但关键特性检验应设复核人；三方物流或委外仓储的企业，须在委托协议中明确待检区隔离与报检职责，防止物料未检直接上线。</w:t>
      </w:r>
    </w:p>
    <w:p>
      <w:pPr>
        <w:numPr>
          <w:ilvl w:val="0"/>
          <w:numId w:val="1005"/>
        </w:numPr>
      </w:pPr>
      <w:r>
        <w:rPr>
          <w:b/>
        </w:rPr>
        <w:t xml:space="preserve">行业特殊要求</w:t>
      </w:r>
      <w:r>
        <w:t xml:space="preserve">：涉及食品接触材料、电子电气产品的企业，应在 4.4.4 条补充 RoHS／REACH／FDA／LFGB 等合规性核对要求；涉及压力容器、消防产品的企业，应补充强制认证证书与型式试验报告的有效性核对。</w:t>
      </w:r>
    </w:p>
    <w:p>
      <w:pPr>
        <w:pStyle w:val="FirstParagraph"/>
      </w:pPr>
      <w:r>
        <w:rPr>
          <w:b/>
        </w:rPr>
        <w:t xml:space="preserve">二、审核关注点</w:t>
      </w:r>
    </w:p>
    <w:p>
      <w:pPr>
        <w:numPr>
          <w:ilvl w:val="0"/>
          <w:numId w:val="1006"/>
        </w:numPr>
        <w:pStyle w:val="Compact"/>
      </w:pPr>
      <w:r>
        <w:t xml:space="preserve">抽样方案是否在文件中规定并实际执行，抽样的随机性是否可验证；</w:t>
      </w:r>
    </w:p>
    <w:p>
      <w:pPr>
        <w:numPr>
          <w:ilvl w:val="0"/>
          <w:numId w:val="1006"/>
        </w:numPr>
        <w:pStyle w:val="Compact"/>
      </w:pPr>
      <w:r>
        <w:t xml:space="preserve">检验记录是否记录实测值，而非仅填</w:t>
      </w:r>
      <w:r>
        <w:t xml:space="preserve">“</w:t>
      </w:r>
      <w:r>
        <w:t xml:space="preserve">合格</w:t>
      </w:r>
      <w:r>
        <w:t xml:space="preserve">”</w:t>
      </w:r>
      <w:r>
        <w:t xml:space="preserve">；记录与判定结论是否一致；</w:t>
      </w:r>
    </w:p>
    <w:p>
      <w:pPr>
        <w:numPr>
          <w:ilvl w:val="0"/>
          <w:numId w:val="1006"/>
        </w:numPr>
        <w:pStyle w:val="Compact"/>
      </w:pPr>
      <w:r>
        <w:t xml:space="preserve">使用的量检具是否在校准有效期内，校准状态标识是否清晰；</w:t>
      </w:r>
    </w:p>
    <w:p>
      <w:pPr>
        <w:numPr>
          <w:ilvl w:val="0"/>
          <w:numId w:val="1006"/>
        </w:numPr>
        <w:pStyle w:val="Compact"/>
      </w:pPr>
      <w:r>
        <w:t xml:space="preserve">检验员是否具备岗位资格，特殊项目是否有资质证明；</w:t>
      </w:r>
    </w:p>
    <w:p>
      <w:pPr>
        <w:numPr>
          <w:ilvl w:val="0"/>
          <w:numId w:val="1006"/>
        </w:numPr>
        <w:pStyle w:val="Compact"/>
      </w:pPr>
      <w:r>
        <w:t xml:space="preserve">免检物料是否有经批准的免检清单与依据，是否定期复核；</w:t>
      </w:r>
    </w:p>
    <w:p>
      <w:pPr>
        <w:numPr>
          <w:ilvl w:val="0"/>
          <w:numId w:val="1006"/>
        </w:numPr>
        <w:pStyle w:val="Compact"/>
      </w:pPr>
      <w:r>
        <w:t xml:space="preserve">紧急放行是否有申请、评估、批准、跟踪与补检闭环；</w:t>
      </w:r>
    </w:p>
    <w:p>
      <w:pPr>
        <w:numPr>
          <w:ilvl w:val="0"/>
          <w:numId w:val="1006"/>
        </w:numPr>
        <w:pStyle w:val="Compact"/>
      </w:pPr>
      <w:r>
        <w:t xml:space="preserve">让步接收是否经技术评审与授权人批准，是否评估对最终产品的影响；</w:t>
      </w:r>
    </w:p>
    <w:p>
      <w:pPr>
        <w:numPr>
          <w:ilvl w:val="0"/>
          <w:numId w:val="1006"/>
        </w:numPr>
        <w:pStyle w:val="Compact"/>
      </w:pPr>
      <w:r>
        <w:t xml:space="preserve">不合格物料是否实际隔离，与合格物料是否分区管理；</w:t>
      </w:r>
    </w:p>
    <w:p>
      <w:pPr>
        <w:numPr>
          <w:ilvl w:val="0"/>
          <w:numId w:val="1006"/>
        </w:numPr>
        <w:pStyle w:val="Compact"/>
      </w:pPr>
      <w:r>
        <w:t xml:space="preserve">IQC 数据是否用于供方绩效评价，不合格供方是否实际采取了措施并验证关闭。</w:t>
      </w:r>
    </w:p>
    <w:p>
      <w:pPr>
        <w:pStyle w:val="FirstParagraph"/>
      </w:pPr>
      <w:r>
        <w:rPr>
          <w:b/>
        </w:rPr>
        <w:t xml:space="preserve">三、常见错误</w:t>
      </w:r>
    </w:p>
    <w:p>
      <w:pPr>
        <w:numPr>
          <w:ilvl w:val="0"/>
          <w:numId w:val="1007"/>
        </w:numPr>
      </w:pPr>
      <w:r>
        <w:rPr>
          <w:b/>
        </w:rPr>
        <w:t xml:space="preserve">抽样全凭经验</w:t>
      </w:r>
      <w:r>
        <w:t xml:space="preserve">：文件写了 GB/T 2828.1，实际按</w:t>
      </w:r>
      <w:r>
        <w:t xml:space="preserve">“</w:t>
      </w:r>
      <w:r>
        <w:t xml:space="preserve">每批抽 5 件</w:t>
      </w:r>
      <w:r>
        <w:t xml:space="preserve">”</w:t>
      </w:r>
      <w:r>
        <w:t xml:space="preserve">或</w:t>
      </w:r>
      <w:r>
        <w:t xml:space="preserve">“</w:t>
      </w:r>
      <w:r>
        <w:t xml:space="preserve">抽一箱看看</w:t>
      </w:r>
      <w:r>
        <w:t xml:space="preserve">”</w:t>
      </w:r>
      <w:r>
        <w:t xml:space="preserve">执行，审核时无法提供抽样依据。</w:t>
      </w:r>
    </w:p>
    <w:p>
      <w:pPr>
        <w:numPr>
          <w:ilvl w:val="0"/>
          <w:numId w:val="1007"/>
        </w:numPr>
      </w:pPr>
      <w:r>
        <w:rPr>
          <w:b/>
        </w:rPr>
        <w:t xml:space="preserve">计划外变通</w:t>
      </w:r>
      <w:r>
        <w:t xml:space="preserve">：样本检出不合格后重新抽样，或由供方挑选样本后再送检，使抽样失去代表性。</w:t>
      </w:r>
    </w:p>
    <w:p>
      <w:pPr>
        <w:numPr>
          <w:ilvl w:val="0"/>
          <w:numId w:val="1007"/>
        </w:numPr>
      </w:pPr>
      <w:r>
        <w:rPr>
          <w:b/>
        </w:rPr>
        <w:t xml:space="preserve">记录只写结论</w:t>
      </w:r>
      <w:r>
        <w:t xml:space="preserve">：检验记录上只有</w:t>
      </w:r>
      <w:r>
        <w:t xml:space="preserve">“</w:t>
      </w:r>
      <w:r>
        <w:t xml:space="preserve">合格</w:t>
      </w:r>
      <w:r>
        <w:t xml:space="preserve">”</w:t>
      </w:r>
      <w:r>
        <w:t xml:space="preserve">勾选，没有实测值，无法证明判定过程，也无法为供方改进提供数据。</w:t>
      </w:r>
    </w:p>
    <w:p>
      <w:pPr>
        <w:numPr>
          <w:ilvl w:val="0"/>
          <w:numId w:val="1007"/>
        </w:numPr>
      </w:pPr>
      <w:r>
        <w:rPr>
          <w:b/>
        </w:rPr>
        <w:t xml:space="preserve">免检与放宽无审批</w:t>
      </w:r>
      <w:r>
        <w:t xml:space="preserve">：把</w:t>
      </w:r>
      <w:r>
        <w:t xml:space="preserve">“</w:t>
      </w:r>
      <w:r>
        <w:t xml:space="preserve">长期没出过问题</w:t>
      </w:r>
      <w:r>
        <w:t xml:space="preserve">”</w:t>
      </w:r>
      <w:r>
        <w:t xml:space="preserve">当作免检理由，没有免检清单、没有批准记录、没有定期复核。</w:t>
      </w:r>
    </w:p>
    <w:p>
      <w:pPr>
        <w:numPr>
          <w:ilvl w:val="0"/>
          <w:numId w:val="1007"/>
        </w:numPr>
      </w:pPr>
      <w:r>
        <w:rPr>
          <w:b/>
        </w:rPr>
        <w:t xml:space="preserve">量具问题</w:t>
      </w:r>
      <w:r>
        <w:t xml:space="preserve">：使用超期未校准、分辨力不足或已损伤的量检具进行判定，测量结果不可信。</w:t>
      </w:r>
    </w:p>
    <w:p>
      <w:pPr>
        <w:numPr>
          <w:ilvl w:val="0"/>
          <w:numId w:val="1007"/>
        </w:numPr>
      </w:pPr>
      <w:r>
        <w:rPr>
          <w:b/>
        </w:rPr>
        <w:t xml:space="preserve">紧急放行成常态</w:t>
      </w:r>
      <w:r>
        <w:t xml:space="preserve">：紧急放行审批随意、未做补检、无追溯记录，成为绕过检验的通道。</w:t>
      </w:r>
    </w:p>
    <w:p>
      <w:pPr>
        <w:numPr>
          <w:ilvl w:val="0"/>
          <w:numId w:val="1007"/>
        </w:numPr>
      </w:pPr>
      <w:r>
        <w:rPr>
          <w:b/>
        </w:rPr>
        <w:t xml:space="preserve">判定与处置脱节</w:t>
      </w:r>
      <w:r>
        <w:t xml:space="preserve">：检验记录判了不合格，物料却仍在产线上使用，隔离区形同虚设，不合格品处理单长期不关闭。</w:t>
      </w:r>
    </w:p>
    <w:p>
      <w:pPr>
        <w:numPr>
          <w:ilvl w:val="0"/>
          <w:numId w:val="1007"/>
        </w:numPr>
      </w:pPr>
      <w:r>
        <w:rPr>
          <w:b/>
        </w:rPr>
        <w:t xml:space="preserve">数据不闭环</w:t>
      </w:r>
      <w:r>
        <w:t xml:space="preserve">：IQC 统计表按月编制，但从未转化为供方纠正措施要求或供方评审输入，数据只用作报表。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t xml:space="preserve">进货检验是质量防线的第一道闸门，判得准、记得清、处置得住才算合格。</w:t>
      </w:r>
    </w:p>
    <w:p>
      <w:pPr>
        <w:pStyle w:val="FirstParagraph"/>
      </w:pPr>
      <w:r>
        <w:t xml:space="preserve">知识编号：2.3.1</w:t>
      </w:r>
    </w:p>
    <w:p>
      <w:pPr>
        <w:pStyle w:val="BodyText"/>
      </w:pPr>
      <w:r>
        <w:t xml:space="preserve">版本：v20260809</w:t>
      </w:r>
    </w:p>
    <w:p>
      <w:pPr>
        <w:pStyle w:val="BodyText"/>
      </w:pPr>
      <w:r>
        <w:t xml:space="preserve">作者：卓越质量智库</w:t>
      </w:r>
      <w:r>
        <w:t xml:space="preserve"> </w:t>
      </w:r>
      <w:r>
        <w:rPr>
          <w:i/>
        </w:rPr>
        <w:t xml:space="preserve">卓越质量智库致力于为质量管理从业者提供系统化的专业知识、方法论与实战工具，助力企业质量能力持续提升。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2026-09-12T10:35:37Z</dcterms:created>
  <dcterms:modified xsi:type="dcterms:W3CDTF">2026-09-12T10:35:37Z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