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iso9001体系文件套包36成品检验作业指导书"/>
      <w:r>
        <w:t xml:space="preserve">ISO9001体系文件套包（36）｜成品检验作业指导书</w:t>
      </w:r>
      <w:bookmarkEnd w:id="20"/>
    </w:p>
    <w:p>
      <w:pPr>
        <w:pStyle w:val="FirstParagraph"/>
      </w:pPr>
      <w:r>
        <w:rPr>
          <w:b/>
        </w:rPr>
        <w:t xml:space="preserve">文件说明</w:t>
      </w:r>
      <w:r>
        <w:t xml:space="preserve">：本指导书是《产品放行控制程序》（套包第 21 篇）与《生产过程控制程序》（套包第 17 篇）的下层级配套文件，属于质量管理体系三级文件（作业指导书），用于把 ISO 9001:2015 标准 8.6 条</w:t>
      </w:r>
      <w:r>
        <w:t xml:space="preserve">“</w:t>
      </w:r>
      <w:r>
        <w:t xml:space="preserve">产品和服务的放行</w:t>
      </w:r>
      <w:r>
        <w:t xml:space="preserve">”</w:t>
      </w:r>
      <w:r>
        <w:t xml:space="preserve">、9.1.1 条</w:t>
      </w:r>
      <w:r>
        <w:t xml:space="preserve">“</w:t>
      </w:r>
      <w:r>
        <w:t xml:space="preserve">顾客满意的监视、测量、分析和评价</w:t>
      </w:r>
      <w:r>
        <w:t xml:space="preserve">”</w:t>
      </w:r>
      <w:r>
        <w:t xml:space="preserve">中关于</w:t>
      </w:r>
      <w:r>
        <w:t xml:space="preserve">“</w:t>
      </w:r>
      <w:r>
        <w:t xml:space="preserve">按策划的安排验证产品要求已得到满足</w:t>
      </w:r>
      <w:r>
        <w:t xml:space="preserve">”</w:t>
      </w:r>
      <w:r>
        <w:t xml:space="preserve">的规定，落到 FQC（最终检验）与 OQC（出货检验）岗位的具体操作动作上。二级程序文件回答</w:t>
      </w:r>
      <w:r>
        <w:t xml:space="preserve">“</w:t>
      </w:r>
      <w:r>
        <w:t xml:space="preserve">产品由谁批准放行、放行需要哪些前置条件</w:t>
      </w:r>
      <w:r>
        <w:t xml:space="preserve">”</w:t>
      </w:r>
      <w:r>
        <w:t xml:space="preserve">，本指导书回答</w:t>
      </w:r>
      <w:r>
        <w:t xml:space="preserve">“</w:t>
      </w:r>
      <w:r>
        <w:t xml:space="preserve">成品入库前查什么、出货前查什么、用什么抽样方案、判定不合格时怎么处理、留样留多少留多久、谁有权签字放行</w:t>
      </w:r>
      <w:r>
        <w:t xml:space="preserve">”</w:t>
      </w:r>
      <w:r>
        <w:t xml:space="preserve">。适用于全部以实物产品交付的制造型企业；对软件、服务类产品，第 4.5 条的功能性验证与第 4.6 条的放行签署仍然适用，尺寸与外观项目可相应裁剪为交付物完整性检查。本文件可直接作为企业三级文件发布使用，使用时将组织名称、产品名称、检验项目、抽样水平与 AQL 值代换为自身实际值即可。</w:t>
      </w:r>
    </w:p>
    <w:p>
      <w:pPr>
        <w:pStyle w:val="Heading2"/>
      </w:pPr>
      <w:bookmarkStart w:id="21" w:name="一目的"/>
      <w:r>
        <w:t xml:space="preserve">一、目的</w:t>
      </w:r>
      <w:bookmarkEnd w:id="21"/>
    </w:p>
    <w:p>
      <w:pPr>
        <w:pStyle w:val="FirstParagraph"/>
      </w:pPr>
      <w:r>
        <w:t xml:space="preserve">为规范本公司成品检验（FQC）与出货检验（OQC）活动，明确成品检验的项目与依据、抽样方案与判定准则、检验状态标识、放行签署权限、不合格成品处置路径、留样与数据管理要求，确保只有经检验合格并获授权批准的产品方可入库与交付，防止不合格品流入顾客手中，特制定本作业指导书。</w:t>
      </w:r>
    </w:p>
    <w:p>
      <w:pPr>
        <w:pStyle w:val="Heading2"/>
      </w:pPr>
      <w:bookmarkStart w:id="22" w:name="二适用范围"/>
      <w:r>
        <w:t xml:space="preserve">二、适用范围</w:t>
      </w:r>
      <w:bookmarkEnd w:id="22"/>
    </w:p>
    <w:p>
      <w:pPr>
        <w:pStyle w:val="FirstParagraph"/>
      </w:pPr>
      <w:r>
        <w:t xml:space="preserve">2.1 本指导书适用于本公司所有已完工、待入库或待交付产品的最终检验与出货检验活动，覆盖自制产品、委外加工回厂产品、返工返修后的产品以及超期库存复检产品。</w:t>
      </w:r>
    </w:p>
    <w:p>
      <w:pPr>
        <w:pStyle w:val="BodyText"/>
      </w:pPr>
      <w:r>
        <w:t xml:space="preserve">2.2 本指导书覆盖下列环节：检验准备与依据确认、检验项目与方式的确定、抽样方案的选择与实施、外观与包装标识检验、尺寸与功能性能检验、判定与状态标识、成品放行签署、不合格成品处置、留样管理、特殊情形处理、记录与数据管理。</w:t>
      </w:r>
    </w:p>
    <w:p>
      <w:pPr>
        <w:pStyle w:val="BodyText"/>
      </w:pPr>
      <w:r>
        <w:t xml:space="preserve">2.3 下列情形的处理原则：</w:t>
      </w:r>
    </w:p>
    <w:p>
      <w:pPr>
        <w:numPr>
          <w:ilvl w:val="0"/>
          <w:numId w:val="1001"/>
        </w:numPr>
        <w:pStyle w:val="Compact"/>
      </w:pPr>
      <w:r>
        <w:t xml:space="preserve">顾客合同或行业标准规定了验收规则（如抽样水平、AQL 值、指定检验项目）的，以顾客要求为准，本指导书作为补充；</w:t>
      </w:r>
    </w:p>
    <w:p>
      <w:pPr>
        <w:numPr>
          <w:ilvl w:val="0"/>
          <w:numId w:val="1001"/>
        </w:numPr>
        <w:pStyle w:val="Compact"/>
      </w:pPr>
      <w:r>
        <w:t xml:space="preserve">全检产品（安全件、法规强制全检项目）：不适用抽样方案，逐件全项目检验并逐件记录；</w:t>
      </w:r>
    </w:p>
    <w:p>
      <w:pPr>
        <w:numPr>
          <w:ilvl w:val="0"/>
          <w:numId w:val="1001"/>
        </w:numPr>
        <w:pStyle w:val="Compact"/>
      </w:pPr>
      <w:r>
        <w:t xml:space="preserve">免检产品：须由质量负责人书面批准并形成《免检产品清单》，明确免检条件、验证方式与失效条件，免检不等于不验证；</w:t>
      </w:r>
    </w:p>
    <w:p>
      <w:pPr>
        <w:numPr>
          <w:ilvl w:val="0"/>
          <w:numId w:val="1001"/>
        </w:numPr>
        <w:pStyle w:val="Compact"/>
      </w:pPr>
      <w:r>
        <w:t xml:space="preserve">一次性定制、单件生产：按合同技术协议逐项验证并留存证据，可不设批抽样。</w:t>
      </w:r>
    </w:p>
    <w:p>
      <w:pPr>
        <w:pStyle w:val="FirstParagraph"/>
      </w:pPr>
      <w:r>
        <w:t xml:space="preserve">2.4 本指导书不代替产品标准、图纸、技术协议与客户验收规范；当上述文件要求高于本文件时，按更严格的要求执行。</w:t>
      </w:r>
    </w:p>
    <w:p>
      <w:pPr>
        <w:pStyle w:val="Heading2"/>
      </w:pPr>
      <w:bookmarkStart w:id="23" w:name="三职责"/>
      <w:r>
        <w:t xml:space="preserve">三、职责</w:t>
      </w:r>
      <w:bookmarkEnd w:id="23"/>
    </w:p>
    <w:p>
      <w:pPr>
        <w:pStyle w:val="FirstParagraph"/>
      </w:pPr>
      <w:r>
        <w:t xml:space="preserve">3.1</w:t>
      </w:r>
      <w:r>
        <w:t xml:space="preserve"> </w:t>
      </w:r>
      <w:r>
        <w:rPr>
          <w:b/>
        </w:rPr>
        <w:t xml:space="preserve">质量部（FQC／OQC 组）</w:t>
      </w:r>
      <w:r>
        <w:t xml:space="preserve">：负责成品检验与出货检验的实施、抽样方案的执行、判定与状态标识、检验记录的填写与归档、留样管理、成品一次交验合格率与出货批合格率的统计；负责对拟放行产品的符合性作最终确认；负责开具《成品不合格处置单》与《出货异常通知单》。</w:t>
      </w:r>
    </w:p>
    <w:p>
      <w:pPr>
        <w:pStyle w:val="BodyText"/>
      </w:pPr>
      <w:r>
        <w:t xml:space="preserve">3.2</w:t>
      </w:r>
      <w:r>
        <w:t xml:space="preserve"> </w:t>
      </w:r>
      <w:r>
        <w:rPr>
          <w:b/>
        </w:rPr>
        <w:t xml:space="preserve">生产部</w:t>
      </w:r>
      <w:r>
        <w:t xml:space="preserve">：负责按计划组织成品完工报检、按检验要求整理待检品与随批文件、负责不合格成品的返工返修实施、负责完工批次的标识与数量核对。</w:t>
      </w:r>
    </w:p>
    <w:p>
      <w:pPr>
        <w:pStyle w:val="BodyText"/>
      </w:pPr>
      <w:r>
        <w:t xml:space="preserve">3.3</w:t>
      </w:r>
      <w:r>
        <w:t xml:space="preserve"> </w:t>
      </w:r>
      <w:r>
        <w:rPr>
          <w:b/>
        </w:rPr>
        <w:t xml:space="preserve">技术部／工艺部</w:t>
      </w:r>
      <w:r>
        <w:t xml:space="preserve">：负责提供成品检验所依据的图纸、技术条件、检验规范与抽检项目清单；负责功能性、性能性检验方法的确认与争议项目的技术判定；负责不合格成品的技术处置意见。</w:t>
      </w:r>
    </w:p>
    <w:p>
      <w:pPr>
        <w:pStyle w:val="BodyText"/>
      </w:pPr>
      <w:r>
        <w:t xml:space="preserve">3.4</w:t>
      </w:r>
      <w:r>
        <w:t xml:space="preserve"> </w:t>
      </w:r>
      <w:r>
        <w:rPr>
          <w:b/>
        </w:rPr>
        <w:t xml:space="preserve">仓储部</w:t>
      </w:r>
      <w:r>
        <w:t xml:space="preserve">：负责成品入库时的批号与数量核对、按检验状态分区存放、先进先出执行、库存超期与防护条件的定期检查并提请复检。</w:t>
      </w:r>
    </w:p>
    <w:p>
      <w:pPr>
        <w:pStyle w:val="BodyText"/>
      </w:pPr>
      <w:r>
        <w:t xml:space="preserve">3.5</w:t>
      </w:r>
      <w:r>
        <w:t xml:space="preserve"> </w:t>
      </w:r>
      <w:r>
        <w:rPr>
          <w:b/>
        </w:rPr>
        <w:t xml:space="preserve">销售部／顾客接口人</w:t>
      </w:r>
      <w:r>
        <w:t xml:space="preserve">：负责传递顾客验收要求与特殊包装、标识规定，负责紧急出货申请中顾客方的意见确认（含书面授权）。</w:t>
      </w:r>
    </w:p>
    <w:p>
      <w:pPr>
        <w:pStyle w:val="BodyText"/>
      </w:pPr>
      <w:r>
        <w:t xml:space="preserve">3.6</w:t>
      </w:r>
      <w:r>
        <w:t xml:space="preserve"> </w:t>
      </w:r>
      <w:r>
        <w:rPr>
          <w:b/>
        </w:rPr>
        <w:t xml:space="preserve">管理者代表／质量负责人</w:t>
      </w:r>
      <w:r>
        <w:t xml:space="preserve">：负责批准成品放行准则、免检清单、让步接收与降级使用结论；负责重大成品不合格的处置决策与顾客通知的批准。</w:t>
      </w:r>
    </w:p>
    <w:p>
      <w:pPr>
        <w:pStyle w:val="BodyText"/>
      </w:pPr>
      <w:r>
        <w:t xml:space="preserve">3.7</w:t>
      </w:r>
      <w:r>
        <w:t xml:space="preserve"> </w:t>
      </w:r>
      <w:r>
        <w:rPr>
          <w:b/>
        </w:rPr>
        <w:t xml:space="preserve">内审员／审核接口人</w:t>
      </w:r>
      <w:r>
        <w:t xml:space="preserve">：负责核查成品检验记录的真实性、完整性、可追溯性，以及放行签署权限是否符合文件规定。</w:t>
      </w:r>
    </w:p>
    <w:p>
      <w:pPr>
        <w:pStyle w:val="Heading2"/>
      </w:pPr>
      <w:bookmarkStart w:id="24" w:name="四工作程序"/>
      <w:r>
        <w:t xml:space="preserve">四、工作程序</w:t>
      </w:r>
      <w:bookmarkEnd w:id="24"/>
    </w:p>
    <w:p>
      <w:pPr>
        <w:pStyle w:val="Heading3"/>
      </w:pPr>
      <w:bookmarkStart w:id="25" w:name="检验准备"/>
      <w:r>
        <w:t xml:space="preserve">4.1 检验准备</w:t>
      </w:r>
      <w:bookmarkEnd w:id="25"/>
    </w:p>
    <w:p>
      <w:pPr>
        <w:pStyle w:val="FirstParagraph"/>
      </w:pPr>
      <w:r>
        <w:t xml:space="preserve">4.1.1 质量部应针对每一产品系列编制《成品检验规范》（FQC 规范），内容至少包括：产品名称与型号、适用标准与技术协议编号、检验项目（外观、尺寸、功能、性能、包装、标识、附配件与资料）、每项检验的规格要求、检验方法（含引用标准）、使用设备与量检具、抽样方案（批量范围、样本量、AQL 值或全检）、判定准则、不合格分类（致命/严重/轻微）、记录表单编号。检验规范应与产品技术文件同步评审、同步发布、同步更改。</w:t>
      </w:r>
    </w:p>
    <w:p>
      <w:pPr>
        <w:pStyle w:val="BodyText"/>
      </w:pPr>
      <w:r>
        <w:t xml:space="preserve">4.1.2 检验员在实施检验前应确认：所持检验规范与图纸为现行有效版本，且与生产所用版本一致；量检具、检测设备在校准或检定有效期内且状态正常；检验场地照度、温度、湿度、洁净度与防静电条件满足规范要求；检验用工装、测试软件版本与规范一致；上批遗留问题已闭环。</w:t>
      </w:r>
    </w:p>
    <w:p>
      <w:pPr>
        <w:pStyle w:val="BodyText"/>
      </w:pPr>
      <w:r>
        <w:t xml:space="preserve">4.1.3 检验员应经岗位培训与考核合格；涉及电气安全、无损检测、微生物限度、压力试验、软件功能验证等项目的，须持有效资格证明或经专项授权。</w:t>
      </w:r>
    </w:p>
    <w:p>
      <w:pPr>
        <w:pStyle w:val="BodyText"/>
      </w:pPr>
      <w:r>
        <w:t xml:space="preserve">4.1.4 报检时生产部应随批提交：送检单、《工序流转卡》或完工凭证、必要的自检记录与参数记录。缺少随批资料的批次，检验员可拒检并要求补齐，拒检情况记录在送检单上。</w:t>
      </w:r>
    </w:p>
    <w:p>
      <w:pPr>
        <w:pStyle w:val="Heading3"/>
      </w:pPr>
      <w:bookmarkStart w:id="26" w:name="检验项目与检验方式的确定"/>
      <w:r>
        <w:t xml:space="preserve">4.2 检验项目与检验方式的确定</w:t>
      </w:r>
      <w:bookmarkEnd w:id="26"/>
    </w:p>
    <w:p>
      <w:pPr>
        <w:pStyle w:val="FirstParagraph"/>
      </w:pPr>
      <w:r>
        <w:t xml:space="preserve">4.2.1 成品检验项目按下列维度齐备设置，不得只查外观：</w:t>
      </w:r>
    </w:p>
    <w:p>
      <w:pPr>
        <w:numPr>
          <w:ilvl w:val="0"/>
          <w:numId w:val="1002"/>
        </w:numPr>
        <w:pStyle w:val="Compact"/>
      </w:pPr>
      <w:r>
        <w:rPr>
          <w:b/>
        </w:rPr>
        <w:t xml:space="preserve">外观与结构</w:t>
      </w:r>
      <w:r>
        <w:t xml:space="preserve">：颜色、光泽、毛刺、划痕、污渍、变形、装配间隙、焊缝与涂层质量；</w:t>
      </w:r>
    </w:p>
    <w:p>
      <w:pPr>
        <w:numPr>
          <w:ilvl w:val="0"/>
          <w:numId w:val="1002"/>
        </w:numPr>
        <w:pStyle w:val="Compact"/>
      </w:pPr>
      <w:r>
        <w:rPr>
          <w:b/>
        </w:rPr>
        <w:t xml:space="preserve">尺寸与配合</w:t>
      </w:r>
      <w:r>
        <w:t xml:space="preserve">：关键/重要尺寸实测、装配互换性验证、与样件或标准件的对比；</w:t>
      </w:r>
    </w:p>
    <w:p>
      <w:pPr>
        <w:numPr>
          <w:ilvl w:val="0"/>
          <w:numId w:val="1002"/>
        </w:numPr>
        <w:pStyle w:val="Compact"/>
      </w:pPr>
      <w:r>
        <w:rPr>
          <w:b/>
        </w:rPr>
        <w:t xml:space="preserve">功能与性能</w:t>
      </w:r>
      <w:r>
        <w:t xml:space="preserve">：通电、运转、动作试验、密封/耐压、绝缘与接地、负载或寿命试验、软件功能与版本核对；</w:t>
      </w:r>
    </w:p>
    <w:p>
      <w:pPr>
        <w:numPr>
          <w:ilvl w:val="0"/>
          <w:numId w:val="1002"/>
        </w:numPr>
        <w:pStyle w:val="Compact"/>
      </w:pPr>
      <w:r>
        <w:rPr>
          <w:b/>
        </w:rPr>
        <w:t xml:space="preserve">包装与标识</w:t>
      </w:r>
      <w:r>
        <w:t xml:space="preserve">：包装完整性、缓冲与防护、标签内容（品名、型号、批号、生产日期、执行标准、条码、警示语）、随附资料（说明书、合格证、装箱单）；</w:t>
      </w:r>
    </w:p>
    <w:p>
      <w:pPr>
        <w:numPr>
          <w:ilvl w:val="0"/>
          <w:numId w:val="1002"/>
        </w:numPr>
        <w:pStyle w:val="Compact"/>
      </w:pPr>
      <w:r>
        <w:rPr>
          <w:b/>
        </w:rPr>
        <w:t xml:space="preserve">数量与附配件</w:t>
      </w:r>
      <w:r>
        <w:t xml:space="preserve">：主件与配件、工具、备件的数量核对。</w:t>
      </w:r>
    </w:p>
    <w:p>
      <w:pPr>
        <w:pStyle w:val="FirstParagraph"/>
      </w:pPr>
      <w:r>
        <w:t xml:space="preserve">4.2.2 检验方式按项目性质确定：外观与标识类以目视加量具为主；尺寸类以量具实测为主；功能性能类以台架试验、通电测试、模拟工况为主；破坏性项目（拉力、盐雾、寿命、灭菌）按抽样或周期试验执行，样本单独处置，不得回用入批。</w:t>
      </w:r>
    </w:p>
    <w:p>
      <w:pPr>
        <w:pStyle w:val="BodyText"/>
      </w:pPr>
      <w:r>
        <w:t xml:space="preserve">4.2.3 关键特性（安全、法规、顾客关键要求）对应的项目应 100% 检验或按经批准的抽样加过程保证方式执行；执行方式必须在《成品检验规范》中明示，不得由检验员现场自行决定。</w:t>
      </w:r>
    </w:p>
    <w:p>
      <w:pPr>
        <w:pStyle w:val="Heading3"/>
      </w:pPr>
      <w:bookmarkStart w:id="27" w:name="抽样方案与判定准则"/>
      <w:r>
        <w:t xml:space="preserve">4.3 抽样方案与判定准则</w:t>
      </w:r>
      <w:bookmarkEnd w:id="27"/>
    </w:p>
    <w:p>
      <w:pPr>
        <w:pStyle w:val="FirstParagraph"/>
      </w:pPr>
      <w:r>
        <w:t xml:space="preserve">4.3.1 计数型项目的抽样按 GB/T 2828.1（等同采用 ISO 2859-1）执行。企业应在检验规范中固化</w:t>
      </w:r>
      <w:r>
        <w:t xml:space="preserve">“</w:t>
      </w:r>
      <w:r>
        <w:t xml:space="preserve">批量范围—样本量—判定数</w:t>
      </w:r>
      <w:r>
        <w:t xml:space="preserve">”</w:t>
      </w:r>
      <w:r>
        <w:t xml:space="preserve">对照表，典型设置如下（企业可按产品风险调整，但不得降低致命缺陷的严格程度）：</w:t>
      </w:r>
    </w:p>
    <w:tbl>
      <w:tblPr>
        <w:tblStyle w:val="Table"/>
        <w:tblW w:type="pct" w:w="0.0"/>
        <w:tblLook w:firstRow="1"/>
      </w:tblPr>
      <w:tblGrid/>
      <w:tr>
        <w:trPr>
          <w:cnfStyle w:firstRow="1"/>
        </w:trPr>
        <w:tc>
          <w:tcPr>
            <w:tcBorders>
              <w:bottom w:val="single"/>
            </w:tcBorders>
            <w:vAlign w:val="bottom"/>
          </w:tcPr>
          <w:p>
            <w:pPr>
              <w:pStyle w:val="Compact"/>
              <w:jc w:val="left"/>
            </w:pPr>
            <w:r>
              <w:t xml:space="preserve">批量范围（件）</w:t>
            </w:r>
          </w:p>
        </w:tc>
        <w:tc>
          <w:tcPr>
            <w:tcBorders>
              <w:bottom w:val="single"/>
            </w:tcBorders>
            <w:vAlign w:val="bottom"/>
          </w:tcPr>
          <w:p>
            <w:pPr>
              <w:pStyle w:val="Compact"/>
              <w:jc w:val="left"/>
            </w:pPr>
            <w:r>
              <w:t xml:space="preserve">样本量（件）</w:t>
            </w:r>
          </w:p>
        </w:tc>
        <w:tc>
          <w:tcPr>
            <w:tcBorders>
              <w:bottom w:val="single"/>
            </w:tcBorders>
            <w:vAlign w:val="bottom"/>
          </w:tcPr>
          <w:p>
            <w:pPr>
              <w:pStyle w:val="Compact"/>
              <w:jc w:val="left"/>
            </w:pPr>
            <w:r>
              <w:t xml:space="preserve">一般检验水平</w:t>
            </w:r>
          </w:p>
        </w:tc>
        <w:tc>
          <w:tcPr>
            <w:tcBorders>
              <w:bottom w:val="single"/>
            </w:tcBorders>
            <w:vAlign w:val="bottom"/>
          </w:tcPr>
          <w:p>
            <w:pPr>
              <w:pStyle w:val="Compact"/>
              <w:jc w:val="left"/>
            </w:pPr>
            <w:r>
              <w:t xml:space="preserve">AQL（严重缺陷）</w:t>
            </w:r>
          </w:p>
        </w:tc>
        <w:tc>
          <w:tcPr>
            <w:tcBorders>
              <w:bottom w:val="single"/>
            </w:tcBorders>
            <w:vAlign w:val="bottom"/>
          </w:tcPr>
          <w:p>
            <w:pPr>
              <w:pStyle w:val="Compact"/>
              <w:jc w:val="left"/>
            </w:pPr>
            <w:r>
              <w:t xml:space="preserve">AQL（轻微缺陷）</w:t>
            </w:r>
          </w:p>
        </w:tc>
      </w:tr>
      <w:tr>
        <w:tc>
          <w:p>
            <w:pPr>
              <w:pStyle w:val="Compact"/>
              <w:jc w:val="left"/>
            </w:pPr>
            <w:r>
              <w:t xml:space="preserve">2 ～ 8</w:t>
            </w:r>
          </w:p>
        </w:tc>
        <w:tc>
          <w:p>
            <w:pPr>
              <w:pStyle w:val="Compact"/>
              <w:jc w:val="left"/>
            </w:pPr>
            <w:r>
              <w:t xml:space="preserve">2</w:t>
            </w:r>
          </w:p>
        </w:tc>
        <w:tc>
          <w:p>
            <w:pPr>
              <w:pStyle w:val="Compact"/>
              <w:jc w:val="left"/>
            </w:pPr>
            <w:r>
              <w:t xml:space="preserve">Ⅱ</w:t>
            </w:r>
          </w:p>
        </w:tc>
        <w:tc>
          <w:p>
            <w:pPr>
              <w:pStyle w:val="Compact"/>
              <w:jc w:val="left"/>
            </w:pPr>
            <w:r>
              <w:t xml:space="preserve">0.65</w:t>
            </w:r>
          </w:p>
        </w:tc>
        <w:tc>
          <w:p>
            <w:pPr>
              <w:pStyle w:val="Compact"/>
              <w:jc w:val="left"/>
            </w:pPr>
            <w:r>
              <w:t xml:space="preserve">4.0</w:t>
            </w:r>
          </w:p>
        </w:tc>
      </w:tr>
      <w:tr>
        <w:tc>
          <w:p>
            <w:pPr>
              <w:pStyle w:val="Compact"/>
              <w:jc w:val="left"/>
            </w:pPr>
            <w:r>
              <w:t xml:space="preserve">9 ～ 15</w:t>
            </w:r>
          </w:p>
        </w:tc>
        <w:tc>
          <w:p>
            <w:pPr>
              <w:pStyle w:val="Compact"/>
              <w:jc w:val="left"/>
            </w:pPr>
            <w:r>
              <w:t xml:space="preserve">3</w:t>
            </w:r>
          </w:p>
        </w:tc>
        <w:tc>
          <w:p>
            <w:pPr>
              <w:pStyle w:val="Compact"/>
              <w:jc w:val="left"/>
            </w:pPr>
            <w:r>
              <w:t xml:space="preserve">Ⅱ</w:t>
            </w:r>
          </w:p>
        </w:tc>
        <w:tc>
          <w:p>
            <w:pPr>
              <w:pStyle w:val="Compact"/>
              <w:jc w:val="left"/>
            </w:pPr>
            <w:r>
              <w:t xml:space="preserve">0.65</w:t>
            </w:r>
          </w:p>
        </w:tc>
        <w:tc>
          <w:p>
            <w:pPr>
              <w:pStyle w:val="Compact"/>
              <w:jc w:val="left"/>
            </w:pPr>
            <w:r>
              <w:t xml:space="preserve">4.0</w:t>
            </w:r>
          </w:p>
        </w:tc>
      </w:tr>
      <w:tr>
        <w:tc>
          <w:p>
            <w:pPr>
              <w:pStyle w:val="Compact"/>
              <w:jc w:val="left"/>
            </w:pPr>
            <w:r>
              <w:t xml:space="preserve">16 ～ 25</w:t>
            </w:r>
          </w:p>
        </w:tc>
        <w:tc>
          <w:p>
            <w:pPr>
              <w:pStyle w:val="Compact"/>
              <w:jc w:val="left"/>
            </w:pPr>
            <w:r>
              <w:t xml:space="preserve">5</w:t>
            </w:r>
          </w:p>
        </w:tc>
        <w:tc>
          <w:p>
            <w:pPr>
              <w:pStyle w:val="Compact"/>
              <w:jc w:val="left"/>
            </w:pPr>
            <w:r>
              <w:t xml:space="preserve">Ⅱ</w:t>
            </w:r>
          </w:p>
        </w:tc>
        <w:tc>
          <w:p>
            <w:pPr>
              <w:pStyle w:val="Compact"/>
              <w:jc w:val="left"/>
            </w:pPr>
            <w:r>
              <w:t xml:space="preserve">0.65</w:t>
            </w:r>
          </w:p>
        </w:tc>
        <w:tc>
          <w:p>
            <w:pPr>
              <w:pStyle w:val="Compact"/>
              <w:jc w:val="left"/>
            </w:pPr>
            <w:r>
              <w:t xml:space="preserve">4.0</w:t>
            </w:r>
          </w:p>
        </w:tc>
      </w:tr>
      <w:tr>
        <w:tc>
          <w:p>
            <w:pPr>
              <w:pStyle w:val="Compact"/>
              <w:jc w:val="left"/>
            </w:pPr>
            <w:r>
              <w:t xml:space="preserve">26 ～ 50</w:t>
            </w:r>
          </w:p>
        </w:tc>
        <w:tc>
          <w:p>
            <w:pPr>
              <w:pStyle w:val="Compact"/>
              <w:jc w:val="left"/>
            </w:pPr>
            <w:r>
              <w:t xml:space="preserve">8</w:t>
            </w:r>
          </w:p>
        </w:tc>
        <w:tc>
          <w:p>
            <w:pPr>
              <w:pStyle w:val="Compact"/>
              <w:jc w:val="left"/>
            </w:pPr>
            <w:r>
              <w:t xml:space="preserve">Ⅱ</w:t>
            </w:r>
          </w:p>
        </w:tc>
        <w:tc>
          <w:p>
            <w:pPr>
              <w:pStyle w:val="Compact"/>
              <w:jc w:val="left"/>
            </w:pPr>
            <w:r>
              <w:t xml:space="preserve">0.65</w:t>
            </w:r>
          </w:p>
        </w:tc>
        <w:tc>
          <w:p>
            <w:pPr>
              <w:pStyle w:val="Compact"/>
              <w:jc w:val="left"/>
            </w:pPr>
            <w:r>
              <w:t xml:space="preserve">4.0</w:t>
            </w:r>
          </w:p>
        </w:tc>
      </w:tr>
      <w:tr>
        <w:tc>
          <w:p>
            <w:pPr>
              <w:pStyle w:val="Compact"/>
              <w:jc w:val="left"/>
            </w:pPr>
            <w:r>
              <w:t xml:space="preserve">51 ～ 90</w:t>
            </w:r>
          </w:p>
        </w:tc>
        <w:tc>
          <w:p>
            <w:pPr>
              <w:pStyle w:val="Compact"/>
              <w:jc w:val="left"/>
            </w:pPr>
            <w:r>
              <w:t xml:space="preserve">13</w:t>
            </w:r>
          </w:p>
        </w:tc>
        <w:tc>
          <w:p>
            <w:pPr>
              <w:pStyle w:val="Compact"/>
              <w:jc w:val="left"/>
            </w:pPr>
            <w:r>
              <w:t xml:space="preserve">Ⅱ</w:t>
            </w:r>
          </w:p>
        </w:tc>
        <w:tc>
          <w:p>
            <w:pPr>
              <w:pStyle w:val="Compact"/>
              <w:jc w:val="left"/>
            </w:pPr>
            <w:r>
              <w:t xml:space="preserve">0.65</w:t>
            </w:r>
          </w:p>
        </w:tc>
        <w:tc>
          <w:p>
            <w:pPr>
              <w:pStyle w:val="Compact"/>
              <w:jc w:val="left"/>
            </w:pPr>
            <w:r>
              <w:t xml:space="preserve">4.0</w:t>
            </w:r>
          </w:p>
        </w:tc>
      </w:tr>
      <w:tr>
        <w:tc>
          <w:p>
            <w:pPr>
              <w:pStyle w:val="Compact"/>
              <w:jc w:val="left"/>
            </w:pPr>
            <w:r>
              <w:t xml:space="preserve">91 ～ 150</w:t>
            </w:r>
          </w:p>
        </w:tc>
        <w:tc>
          <w:p>
            <w:pPr>
              <w:pStyle w:val="Compact"/>
              <w:jc w:val="left"/>
            </w:pPr>
            <w:r>
              <w:t xml:space="preserve">20</w:t>
            </w:r>
          </w:p>
        </w:tc>
        <w:tc>
          <w:p>
            <w:pPr>
              <w:pStyle w:val="Compact"/>
              <w:jc w:val="left"/>
            </w:pPr>
            <w:r>
              <w:t xml:space="preserve">Ⅱ</w:t>
            </w:r>
          </w:p>
        </w:tc>
        <w:tc>
          <w:p>
            <w:pPr>
              <w:pStyle w:val="Compact"/>
              <w:jc w:val="left"/>
            </w:pPr>
            <w:r>
              <w:t xml:space="preserve">0.65</w:t>
            </w:r>
          </w:p>
        </w:tc>
        <w:tc>
          <w:p>
            <w:pPr>
              <w:pStyle w:val="Compact"/>
              <w:jc w:val="left"/>
            </w:pPr>
            <w:r>
              <w:t xml:space="preserve">4.0</w:t>
            </w:r>
          </w:p>
        </w:tc>
      </w:tr>
      <w:tr>
        <w:tc>
          <w:p>
            <w:pPr>
              <w:pStyle w:val="Compact"/>
              <w:jc w:val="left"/>
            </w:pPr>
            <w:r>
              <w:t xml:space="preserve">151 ～ 280</w:t>
            </w:r>
          </w:p>
        </w:tc>
        <w:tc>
          <w:p>
            <w:pPr>
              <w:pStyle w:val="Compact"/>
              <w:jc w:val="left"/>
            </w:pPr>
            <w:r>
              <w:t xml:space="preserve">32</w:t>
            </w:r>
          </w:p>
        </w:tc>
        <w:tc>
          <w:p>
            <w:pPr>
              <w:pStyle w:val="Compact"/>
              <w:jc w:val="left"/>
            </w:pPr>
            <w:r>
              <w:t xml:space="preserve">Ⅱ</w:t>
            </w:r>
          </w:p>
        </w:tc>
        <w:tc>
          <w:p>
            <w:pPr>
              <w:pStyle w:val="Compact"/>
              <w:jc w:val="left"/>
            </w:pPr>
            <w:r>
              <w:t xml:space="preserve">0.65</w:t>
            </w:r>
          </w:p>
        </w:tc>
        <w:tc>
          <w:p>
            <w:pPr>
              <w:pStyle w:val="Compact"/>
              <w:jc w:val="left"/>
            </w:pPr>
            <w:r>
              <w:t xml:space="preserve">4.0</w:t>
            </w:r>
          </w:p>
        </w:tc>
      </w:tr>
      <w:tr>
        <w:tc>
          <w:p>
            <w:pPr>
              <w:pStyle w:val="Compact"/>
              <w:jc w:val="left"/>
            </w:pPr>
            <w:r>
              <w:t xml:space="preserve">281 ～ 500</w:t>
            </w:r>
          </w:p>
        </w:tc>
        <w:tc>
          <w:p>
            <w:pPr>
              <w:pStyle w:val="Compact"/>
              <w:jc w:val="left"/>
            </w:pPr>
            <w:r>
              <w:t xml:space="preserve">50</w:t>
            </w:r>
          </w:p>
        </w:tc>
        <w:tc>
          <w:p>
            <w:pPr>
              <w:pStyle w:val="Compact"/>
              <w:jc w:val="left"/>
            </w:pPr>
            <w:r>
              <w:t xml:space="preserve">Ⅱ</w:t>
            </w:r>
          </w:p>
        </w:tc>
        <w:tc>
          <w:p>
            <w:pPr>
              <w:pStyle w:val="Compact"/>
              <w:jc w:val="left"/>
            </w:pPr>
            <w:r>
              <w:t xml:space="preserve">0.65</w:t>
            </w:r>
          </w:p>
        </w:tc>
        <w:tc>
          <w:p>
            <w:pPr>
              <w:pStyle w:val="Compact"/>
              <w:jc w:val="left"/>
            </w:pPr>
            <w:r>
              <w:t xml:space="preserve">4.0</w:t>
            </w:r>
          </w:p>
        </w:tc>
      </w:tr>
      <w:tr>
        <w:tc>
          <w:p>
            <w:pPr>
              <w:pStyle w:val="Compact"/>
              <w:jc w:val="left"/>
            </w:pPr>
            <w:r>
              <w:t xml:space="preserve">501 ～ 1200</w:t>
            </w:r>
          </w:p>
        </w:tc>
        <w:tc>
          <w:p>
            <w:pPr>
              <w:pStyle w:val="Compact"/>
              <w:jc w:val="left"/>
            </w:pPr>
            <w:r>
              <w:t xml:space="preserve">80</w:t>
            </w:r>
          </w:p>
        </w:tc>
        <w:tc>
          <w:p>
            <w:pPr>
              <w:pStyle w:val="Compact"/>
              <w:jc w:val="left"/>
            </w:pPr>
            <w:r>
              <w:t xml:space="preserve">Ⅱ</w:t>
            </w:r>
          </w:p>
        </w:tc>
        <w:tc>
          <w:p>
            <w:pPr>
              <w:pStyle w:val="Compact"/>
              <w:jc w:val="left"/>
            </w:pPr>
            <w:r>
              <w:t xml:space="preserve">0.65</w:t>
            </w:r>
          </w:p>
        </w:tc>
        <w:tc>
          <w:p>
            <w:pPr>
              <w:pStyle w:val="Compact"/>
              <w:jc w:val="left"/>
            </w:pPr>
            <w:r>
              <w:t xml:space="preserve">4.0</w:t>
            </w:r>
          </w:p>
        </w:tc>
      </w:tr>
    </w:tbl>
    <w:p>
      <w:pPr>
        <w:pStyle w:val="BodyText"/>
      </w:pPr>
      <w:r>
        <w:t xml:space="preserve">4.3.2 致命缺陷（危及人身安全、违反法规、导致顾客关键功能失效）不适用放宽原则：允许数为 0，即样本中一经发现即判定整批不合格，并须启动加严检验与追溯。</w:t>
      </w:r>
    </w:p>
    <w:p>
      <w:pPr>
        <w:pStyle w:val="BodyText"/>
      </w:pPr>
      <w:r>
        <w:t xml:space="preserve">4.3.3 计量型项目（可测连续数据的尺寸与性能）宜按 GB/T 6378（计量抽样）或按企业规定的样本量实测均值与极差判定；对关键尺寸建议每批实测并计算过程能力指数，作为过程稳定性证据。</w:t>
      </w:r>
    </w:p>
    <w:p>
      <w:pPr>
        <w:pStyle w:val="BodyText"/>
      </w:pPr>
      <w:r>
        <w:t xml:space="preserve">4.3.4 抽样必须随机：从待检批的不同包装箱、不同层位、不同生产时段中抽取；对已包装产品应拆包抽取后再复原包装。只抽</w:t>
      </w:r>
      <w:r>
        <w:t xml:space="preserve">“</w:t>
      </w:r>
      <w:r>
        <w:t xml:space="preserve">最好看的位置</w:t>
      </w:r>
      <w:r>
        <w:t xml:space="preserve">”</w:t>
      </w:r>
      <w:r>
        <w:t xml:space="preserve">或只抽已自检合格的样本，属抽样无效。</w:t>
      </w:r>
    </w:p>
    <w:p>
      <w:pPr>
        <w:pStyle w:val="BodyText"/>
      </w:pPr>
      <w:r>
        <w:t xml:space="preserve">4.3.5 批判定规则：</w:t>
      </w:r>
    </w:p>
    <w:p>
      <w:pPr>
        <w:numPr>
          <w:ilvl w:val="0"/>
          <w:numId w:val="1003"/>
        </w:numPr>
        <w:pStyle w:val="Compact"/>
      </w:pPr>
      <w:r>
        <w:t xml:space="preserve">样本中不合格品数小于或等于判定数（Ac）→ 判定该批合格，允收；</w:t>
      </w:r>
    </w:p>
    <w:p>
      <w:pPr>
        <w:numPr>
          <w:ilvl w:val="0"/>
          <w:numId w:val="1003"/>
        </w:numPr>
        <w:pStyle w:val="Compact"/>
      </w:pPr>
      <w:r>
        <w:t xml:space="preserve">不合格品数大于或等于拒收数（Re）→ 判定该批不合格，整批退回处置；</w:t>
      </w:r>
    </w:p>
    <w:p>
      <w:pPr>
        <w:numPr>
          <w:ilvl w:val="0"/>
          <w:numId w:val="1003"/>
        </w:numPr>
        <w:pStyle w:val="Compact"/>
      </w:pPr>
      <w:r>
        <w:t xml:space="preserve">判定不合格后不得用</w:t>
      </w:r>
      <w:r>
        <w:t xml:space="preserve">“</w:t>
      </w:r>
      <w:r>
        <w:t xml:space="preserve">再抽一次看看</w:t>
      </w:r>
      <w:r>
        <w:t xml:space="preserve">”</w:t>
      </w:r>
      <w:r>
        <w:t xml:space="preserve">的方式推翻结论；确需复核，须由质量负责人书面授权，并记录复核原因与样本。</w:t>
      </w:r>
    </w:p>
    <w:p>
      <w:pPr>
        <w:pStyle w:val="FirstParagraph"/>
      </w:pPr>
      <w:r>
        <w:t xml:space="preserve">4.3.6 连续批的转移规则：连续 5 批合格可转入放宽检验；出现 1 批不合格即恢复正常检验；连续 2 批不合格应转入加严检验并启动原因分析与纠正措施。转移动作须在检验台账中留下记录。</w:t>
      </w:r>
    </w:p>
    <w:p>
      <w:pPr>
        <w:pStyle w:val="Heading3"/>
      </w:pPr>
      <w:bookmarkStart w:id="28" w:name="外观包装与标识检验"/>
      <w:r>
        <w:t xml:space="preserve">4.4 外观、包装与标识检验</w:t>
      </w:r>
      <w:bookmarkEnd w:id="28"/>
    </w:p>
    <w:p>
      <w:pPr>
        <w:pStyle w:val="FirstParagraph"/>
      </w:pPr>
      <w:r>
        <w:t xml:space="preserve">4.4.1 外观检验应在规定照度下进行，必要时与封样样件对照；对颜色与光泽的判定应以顾客确认的色板或限度样品为准，不得凭个人印象判定。</w:t>
      </w:r>
    </w:p>
    <w:p>
      <w:pPr>
        <w:pStyle w:val="BodyText"/>
      </w:pPr>
      <w:r>
        <w:t xml:space="preserve">4.4.2 限度样品（边界样件）应由技术部与质量部共同确认、编号、注明有效期并由专人保管；超过有效期或产品设计变更后，原限度样品作废，须重新确认。</w:t>
      </w:r>
    </w:p>
    <w:p>
      <w:pPr>
        <w:pStyle w:val="BodyText"/>
      </w:pPr>
      <w:r>
        <w:t xml:space="preserve">4.4.3 包装检验内容包括：内包装与外箱的完好性、缓冲材料是否到位、封口与捆扎可靠性、唛头与箱标的一致性、堆码与防潮标识、运输警示标识。</w:t>
      </w:r>
    </w:p>
    <w:p>
      <w:pPr>
        <w:pStyle w:val="BodyText"/>
      </w:pPr>
      <w:r>
        <w:t xml:space="preserve">4.4.4 标识检验内容包括：产品铭牌与标签内容与订单/技术协议一致性、批号可追溯、条码或二维码可读且扫描结果与系统数据一致、随附合格证与说明书齐全、版本号正确。</w:t>
      </w:r>
    </w:p>
    <w:p>
      <w:pPr>
        <w:pStyle w:val="BodyText"/>
      </w:pPr>
      <w:r>
        <w:t xml:space="preserve">4.4.5 出口或客户指定包装的产品，应按客户包装规范逐项核对；包装规范变更时，旧版包装材料未用完的部分须经质量负责人批准后方可使用，并设定使用截止日期。</w:t>
      </w:r>
    </w:p>
    <w:p>
      <w:pPr>
        <w:pStyle w:val="Heading3"/>
      </w:pPr>
      <w:bookmarkStart w:id="29" w:name="功能与性能检验"/>
      <w:r>
        <w:t xml:space="preserve">4.5 功能与性能检验</w:t>
      </w:r>
      <w:bookmarkEnd w:id="29"/>
    </w:p>
    <w:p>
      <w:pPr>
        <w:pStyle w:val="FirstParagraph"/>
      </w:pPr>
      <w:r>
        <w:t xml:space="preserve">4.5.1 功能检验应按检验规范规定的试验条件（电压、气压、介质、环境温湿度、转速或负载）执行，试验条件与实测值一并记录；不得只记录</w:t>
      </w:r>
      <w:r>
        <w:t xml:space="preserve">“</w:t>
      </w:r>
      <w:r>
        <w:t xml:space="preserve">功能正常</w:t>
      </w:r>
      <w:r>
        <w:t xml:space="preserve">”</w:t>
      </w:r>
      <w:r>
        <w:t xml:space="preserve">。</w:t>
      </w:r>
    </w:p>
    <w:p>
      <w:pPr>
        <w:pStyle w:val="BodyText"/>
      </w:pPr>
      <w:r>
        <w:t xml:space="preserve">4.5.2 安全性项目（绝缘电阻、耐压、接地连续性、泄漏电流、防护等级）必须逐台或按规范抽检，实测值记录并可追溯；测试设备应带自校验回路或每日用标准件确认有效性。</w:t>
      </w:r>
    </w:p>
    <w:p>
      <w:pPr>
        <w:pStyle w:val="BodyText"/>
      </w:pPr>
      <w:r>
        <w:t xml:space="preserve">4.5.3 性能试验（流量、功率、精度、密封性、寿命）按其周期执行；寿命与耐久类试验的样本应单独标识，试验后按报废或专用处理，不得混入正常批。</w:t>
      </w:r>
    </w:p>
    <w:p>
      <w:pPr>
        <w:pStyle w:val="BodyText"/>
      </w:pPr>
      <w:r>
        <w:t xml:space="preserve">4.5.4 软件与固件类产品，应核对版本号与发布记录，测试关键功能路径与异常输入响应；涉及安全功能的软件，应验证失效时的安全状态。</w:t>
      </w:r>
    </w:p>
    <w:p>
      <w:pPr>
        <w:pStyle w:val="BodyText"/>
      </w:pPr>
      <w:r>
        <w:t xml:space="preserve">4.5.5 检验过程中发现功能异常时，检验员应停机隔离并扩大抽样（通常取原样本量的两倍或不少于 10 件），以界定问题范围，防止以单件不合格结论掩盖系统性缺陷。</w:t>
      </w:r>
    </w:p>
    <w:p>
      <w:pPr>
        <w:pStyle w:val="Heading3"/>
      </w:pPr>
      <w:bookmarkStart w:id="30" w:name="判定标识与放行"/>
      <w:r>
        <w:t xml:space="preserve">4.6 判定、标识与放行</w:t>
      </w:r>
      <w:bookmarkEnd w:id="30"/>
    </w:p>
    <w:p>
      <w:pPr>
        <w:pStyle w:val="FirstParagraph"/>
      </w:pPr>
      <w:r>
        <w:t xml:space="preserve">4.6.1 成品检验结论统一使用三种状态标识：</w:t>
      </w:r>
      <w:r>
        <w:rPr>
          <w:b/>
        </w:rPr>
        <w:t xml:space="preserve">绿色</w:t>
      </w:r>
      <w:r>
        <w:rPr>
          <w:b/>
        </w:rPr>
        <w:t xml:space="preserve">“</w:t>
      </w:r>
      <w:r>
        <w:rPr>
          <w:b/>
        </w:rPr>
        <w:t xml:space="preserve">检验合格/准予放行</w:t>
      </w:r>
      <w:r>
        <w:rPr>
          <w:b/>
        </w:rPr>
        <w:t xml:space="preserve">”</w:t>
      </w:r>
      <w:r>
        <w:t xml:space="preserve">、</w:t>
      </w:r>
      <w:r>
        <w:rPr>
          <w:b/>
        </w:rPr>
        <w:t xml:space="preserve">黄色</w:t>
      </w:r>
      <w:r>
        <w:rPr>
          <w:b/>
        </w:rPr>
        <w:t xml:space="preserve">“</w:t>
      </w:r>
      <w:r>
        <w:rPr>
          <w:b/>
        </w:rPr>
        <w:t xml:space="preserve">待检/待判</w:t>
      </w:r>
      <w:r>
        <w:rPr>
          <w:b/>
        </w:rPr>
        <w:t xml:space="preserve">”</w:t>
      </w:r>
      <w:r>
        <w:t xml:space="preserve">、</w:t>
      </w:r>
      <w:r>
        <w:rPr>
          <w:b/>
        </w:rPr>
        <w:t xml:space="preserve">红色</w:t>
      </w:r>
      <w:r>
        <w:rPr>
          <w:b/>
        </w:rPr>
        <w:t xml:space="preserve">“</w:t>
      </w:r>
      <w:r>
        <w:rPr>
          <w:b/>
        </w:rPr>
        <w:t xml:space="preserve">不合格/隔离</w:t>
      </w:r>
      <w:r>
        <w:rPr>
          <w:b/>
        </w:rPr>
        <w:t xml:space="preserve">”</w:t>
      </w:r>
      <w:r>
        <w:t xml:space="preserve">；标识形式可为标签、色卡、区域划分或系统状态字段。</w:t>
      </w:r>
    </w:p>
    <w:p>
      <w:pPr>
        <w:pStyle w:val="BodyText"/>
      </w:pPr>
      <w:r>
        <w:t xml:space="preserve">4.6.2 检验合格的批次由检验员在《成品检验记录》上签署，由质量负责人或其授权人在《产品放行单》上签字批准，方可办理入库或出货；未经签署的产品，仓储部不得入库、销售部不得发运。</w:t>
      </w:r>
    </w:p>
    <w:p>
      <w:pPr>
        <w:pStyle w:val="BodyText"/>
      </w:pPr>
      <w:r>
        <w:t xml:space="preserve">4.6.3 签署权限以书面授权书明确，授权人变更或代理须留下授权记录；检验员不得同时担任放行批准人（关键特性产品）或自我批准本人检验的批次。</w:t>
      </w:r>
    </w:p>
    <w:p>
      <w:pPr>
        <w:pStyle w:val="BodyText"/>
      </w:pPr>
      <w:r>
        <w:t xml:space="preserve">4.6.4 放行前应确认的前置条件：本批全部规定检验项目已完成且合格；随批文件与记录齐全；不合格项已闭环或已获让步接收批准；顾客特殊要求（提交检验报告、第三方检测、首件批准）已满足。</w:t>
      </w:r>
    </w:p>
    <w:p>
      <w:pPr>
        <w:pStyle w:val="BodyText"/>
      </w:pPr>
      <w:r>
        <w:t xml:space="preserve">4.6.5 顾客要求每批提交检验报告或质量证明书的，应在发运前由质量部出具并核对内容，报告中的批号、数量、项目、结论须与实物及记录一致。</w:t>
      </w:r>
    </w:p>
    <w:p>
      <w:pPr>
        <w:pStyle w:val="Heading3"/>
      </w:pPr>
      <w:bookmarkStart w:id="31" w:name="不合格成品的处置"/>
      <w:r>
        <w:t xml:space="preserve">4.7 不合格成品的处置</w:t>
      </w:r>
      <w:bookmarkEnd w:id="31"/>
    </w:p>
    <w:p>
      <w:pPr>
        <w:pStyle w:val="FirstParagraph"/>
      </w:pPr>
      <w:r>
        <w:t xml:space="preserve">4.7.1 判定不合格的批次应即时挂红色标识、移入不合格品区；由质量部开具《成品不合格处置单》，记录发现时间、批次、数量、缺陷描述与分类、影响范围。</w:t>
      </w:r>
    </w:p>
    <w:p>
      <w:pPr>
        <w:pStyle w:val="BodyText"/>
      </w:pPr>
      <w:r>
        <w:t xml:space="preserve">4.7.2 处置方式包括：返工、返修、挑选（仅限不影响产品性能与可靠性且顾客未禁止的情形）、让步接收、降级使用、报废。让步接收须经技术评审、顾客同意（顾客要求明确时）与质量负责人批准，并在成品上加施让步接收标识与有效期。</w:t>
      </w:r>
    </w:p>
    <w:p>
      <w:pPr>
        <w:pStyle w:val="BodyText"/>
      </w:pPr>
      <w:r>
        <w:t xml:space="preserve">4.7.3 返工返修后的产品必须重新提交成品检验，检验项目不得少于原项目，并在记录中标注返工次数；同一产品返工超过两次的，须由技术部评估其剩余寿命与可靠性是否可接受。</w:t>
      </w:r>
    </w:p>
    <w:p>
      <w:pPr>
        <w:pStyle w:val="BodyText"/>
      </w:pPr>
      <w:r>
        <w:t xml:space="preserve">4.7.4 挑选（Sorting）后的批量应按合格数与不合格数分别标识入账；挑选产生的代价（工时、数量损失）应纳入质量成本统计，并触发原因分析。</w:t>
      </w:r>
    </w:p>
    <w:p>
      <w:pPr>
        <w:pStyle w:val="BodyText"/>
      </w:pPr>
      <w:r>
        <w:t xml:space="preserve">4.7.5 对系统性或重复性不合格，按《不合格与纠正措施程序》（套包第 27 篇）开具纠正措施单，明确原因分析、责任部门、措施与完成日期，跟踪验证至关闭；涉及已交付产品的，按《标识和可追溯性控制程序》（套包第 18 篇）界定追溯范围并评估是否启动顾客通知或召回。</w:t>
      </w:r>
    </w:p>
    <w:p>
      <w:pPr>
        <w:pStyle w:val="Heading3"/>
      </w:pPr>
      <w:bookmarkStart w:id="32" w:name="留样管理"/>
      <w:r>
        <w:t xml:space="preserve">4.8 留样管理</w:t>
      </w:r>
      <w:bookmarkEnd w:id="32"/>
    </w:p>
    <w:p>
      <w:pPr>
        <w:pStyle w:val="FirstParagraph"/>
      </w:pPr>
      <w:r>
        <w:t xml:space="preserve">4.8.1 下列情形应留样：顾客要求留样的产品、新产品首批与小批试产、关键特性或安全特性产品、发生质量争议或投诉的批次。</w:t>
      </w:r>
    </w:p>
    <w:p>
      <w:pPr>
        <w:pStyle w:val="BodyText"/>
      </w:pPr>
      <w:r>
        <w:t xml:space="preserve">4.8.2 留样数量一般按报废性试验用量加复核用量确定（建议不少于 3 件或按顾客规定）；留样应加贴留样标签，注明产品名称、型号、批号、留样日期、留样人、保存期限。</w:t>
      </w:r>
    </w:p>
    <w:p>
      <w:pPr>
        <w:pStyle w:val="BodyText"/>
      </w:pPr>
      <w:r>
        <w:t xml:space="preserve">4.8.3 留样保存期限一般不少于产品保质期或顾客规定期限，无保质期的产品建议不少于 2 年；涉及安全与法规的产品按法规要求延长。</w:t>
      </w:r>
    </w:p>
    <w:p>
      <w:pPr>
        <w:pStyle w:val="BodyText"/>
      </w:pPr>
      <w:r>
        <w:t xml:space="preserve">4.8.4 留样存放环境应满足产品防护要求，避免受潮、变形、锈蚀与光照老化；留样到期由质量部提出，经批准后处置并记录。</w:t>
      </w:r>
    </w:p>
    <w:p>
      <w:pPr>
        <w:pStyle w:val="Heading3"/>
      </w:pPr>
      <w:bookmarkStart w:id="33" w:name="特殊情形处理"/>
      <w:r>
        <w:t xml:space="preserve">4.9 特殊情形处理</w:t>
      </w:r>
      <w:bookmarkEnd w:id="33"/>
    </w:p>
    <w:p>
      <w:pPr>
        <w:pStyle w:val="FirstParagraph"/>
      </w:pPr>
      <w:r>
        <w:t xml:space="preserve">4.9.1</w:t>
      </w:r>
      <w:r>
        <w:t xml:space="preserve"> </w:t>
      </w:r>
      <w:r>
        <w:rPr>
          <w:b/>
        </w:rPr>
        <w:t xml:space="preserve">紧急出货</w:t>
      </w:r>
      <w:r>
        <w:t xml:space="preserve">：顾客要求先行发运、检验尚未完成的，须由销售部提出书面申请、顾客书面同意、质量负责人批准，并限定</w:t>
      </w:r>
      <w:r>
        <w:t xml:space="preserve">“</w:t>
      </w:r>
      <w:r>
        <w:t xml:space="preserve">未检项补齐时限</w:t>
      </w:r>
      <w:r>
        <w:t xml:space="preserve">”</w:t>
      </w:r>
      <w:r>
        <w:t xml:space="preserve">；未完成项在补齐后若不合格，须立即通知顾客并启动追溯。</w:t>
      </w:r>
    </w:p>
    <w:p>
      <w:pPr>
        <w:pStyle w:val="BodyText"/>
      </w:pPr>
      <w:r>
        <w:t xml:space="preserve">4.9.2</w:t>
      </w:r>
      <w:r>
        <w:t xml:space="preserve"> </w:t>
      </w:r>
      <w:r>
        <w:rPr>
          <w:b/>
        </w:rPr>
        <w:t xml:space="preserve">超期库存复检</w:t>
      </w:r>
      <w:r>
        <w:t xml:space="preserve">：成品库存超过规定期限（建议 6 个月，含保质期产品按其期限）时，出货前须复检功能与外观，必要时重新包装；复检不合格的按第 4.7 条处置。</w:t>
      </w:r>
    </w:p>
    <w:p>
      <w:pPr>
        <w:pStyle w:val="BodyText"/>
      </w:pPr>
      <w:r>
        <w:t xml:space="preserve">4.9.3</w:t>
      </w:r>
      <w:r>
        <w:t xml:space="preserve"> </w:t>
      </w:r>
      <w:r>
        <w:rPr>
          <w:b/>
        </w:rPr>
        <w:t xml:space="preserve">委外加工回厂产品</w:t>
      </w:r>
      <w:r>
        <w:t xml:space="preserve">：回厂后须按本指导书检验，不得仅凭供方合格证明放行；供方检验报告作为参考证据之一归档。</w:t>
      </w:r>
    </w:p>
    <w:p>
      <w:pPr>
        <w:pStyle w:val="BodyText"/>
      </w:pPr>
      <w:r>
        <w:t xml:space="preserve">4.9.4</w:t>
      </w:r>
      <w:r>
        <w:t xml:space="preserve"> </w:t>
      </w:r>
      <w:r>
        <w:rPr>
          <w:b/>
        </w:rPr>
        <w:t xml:space="preserve">顾客退货与返修返厂产品</w:t>
      </w:r>
      <w:r>
        <w:t xml:space="preserve">：按重新检验处理，标识</w:t>
      </w:r>
      <w:r>
        <w:t xml:space="preserve">“</w:t>
      </w:r>
      <w:r>
        <w:t xml:space="preserve">返修</w:t>
      </w:r>
      <w:r>
        <w:t xml:space="preserve">”</w:t>
      </w:r>
      <w:r>
        <w:t xml:space="preserve">字样，逐件查明原故障并在记录中体现，检验合格后方可再出货。</w:t>
      </w:r>
    </w:p>
    <w:p>
      <w:pPr>
        <w:pStyle w:val="BodyText"/>
      </w:pPr>
      <w:r>
        <w:t xml:space="preserve">4.9.5</w:t>
      </w:r>
      <w:r>
        <w:t xml:space="preserve"> </w:t>
      </w:r>
      <w:r>
        <w:rPr>
          <w:b/>
        </w:rPr>
        <w:t xml:space="preserve">样件与试制品</w:t>
      </w:r>
      <w:r>
        <w:t xml:space="preserve">：经技术部注明</w:t>
      </w:r>
      <w:r>
        <w:t xml:space="preserve">“</w:t>
      </w:r>
      <w:r>
        <w:t xml:space="preserve">样件</w:t>
      </w:r>
      <w:r>
        <w:t xml:space="preserve">”</w:t>
      </w:r>
      <w:r>
        <w:t xml:space="preserve">的产品不得以正式产品名义交付；如需交付，须经顾客确认并单独标识。</w:t>
      </w:r>
    </w:p>
    <w:p>
      <w:pPr>
        <w:pStyle w:val="Heading3"/>
      </w:pPr>
      <w:bookmarkStart w:id="34" w:name="记录与数据管理"/>
      <w:r>
        <w:t xml:space="preserve">4.10 记录与数据管理</w:t>
      </w:r>
      <w:bookmarkEnd w:id="34"/>
    </w:p>
    <w:p>
      <w:pPr>
        <w:pStyle w:val="FirstParagraph"/>
      </w:pPr>
      <w:r>
        <w:t xml:space="preserve">4.10.1 成品检验与出货检验记录包括：《成品检验记录》《出货检验记录》《产品放行单》《成品不合格处置单》《留样登记台账》《检验报告／质量证明书》《检验状态标识记录》《紧急出货授权单》。</w:t>
      </w:r>
    </w:p>
    <w:p>
      <w:pPr>
        <w:pStyle w:val="BodyText"/>
      </w:pPr>
      <w:r>
        <w:t xml:space="preserve">4.10.2 记录应现场实时填写，字迹清晰、不得铅笔、不得涂改；需更正时划单线、写正确值并签名注明日期，不得覆盖原字迹。实测值须填写数值而非</w:t>
      </w:r>
      <w:r>
        <w:t xml:space="preserve">“</w:t>
      </w:r>
      <w:r>
        <w:t xml:space="preserve">合格</w:t>
      </w:r>
      <w:r>
        <w:t xml:space="preserve">”</w:t>
      </w:r>
      <w:r>
        <w:t xml:space="preserve">二字。</w:t>
      </w:r>
    </w:p>
    <w:p>
      <w:pPr>
        <w:pStyle w:val="BodyText"/>
      </w:pPr>
      <w:r>
        <w:t xml:space="preserve">4.10.3 检验记录保存期限不少于产品寿命周期或客户与法规要求的期限，一般不少于 3 年；涉及安全与法规符合性的记录保存期不少于产品停产后 5 年或按法规执行。</w:t>
      </w:r>
    </w:p>
    <w:p>
      <w:pPr>
        <w:pStyle w:val="BodyText"/>
      </w:pPr>
      <w:r>
        <w:t xml:space="preserve">4.10.4 质量部每月统计成品一次交验合格率、出货批合格率、按缺陷类别分布的不合格率、返工率与留样使用情况，形成质量月报，作为管理评审与持续改进的输入；对连续三个月下降的指标，应触发专项分析。</w:t>
      </w:r>
    </w:p>
    <w:p>
      <w:pPr>
        <w:pStyle w:val="Heading3"/>
      </w:pPr>
      <w:bookmarkStart w:id="35" w:name="流程文字版流程图"/>
      <w:r>
        <w:t xml:space="preserve">4.11 流程（文字版流程图）</w:t>
      </w:r>
      <w:bookmarkEnd w:id="35"/>
    </w:p>
    <w:p>
      <w:pPr>
        <w:pStyle w:val="SourceCode"/>
      </w:pPr>
      <w:r>
        <w:rPr>
          <w:rStyle w:val="VerbatimChar"/>
        </w:rPr>
        <w:t xml:space="preserve">成品完工 → 生产部报检（随批资料齐全）</w:t>
      </w:r>
      <w:r>
        <w:br/>
      </w:r>
      <w:r>
        <w:rPr>
          <w:rStyle w:val="VerbatimChar"/>
        </w:rPr>
        <w:t xml:space="preserve">        ↓</w:t>
      </w:r>
      <w:r>
        <w:br/>
      </w:r>
      <w:r>
        <w:rPr>
          <w:rStyle w:val="VerbatimChar"/>
        </w:rPr>
        <w:t xml:space="preserve">检验准备（规范/图纸现行有效、量检具在有效期内、人员资格有效）</w:t>
      </w:r>
      <w:r>
        <w:br/>
      </w:r>
      <w:r>
        <w:rPr>
          <w:rStyle w:val="VerbatimChar"/>
        </w:rPr>
        <w:t xml:space="preserve">        ↓</w:t>
      </w:r>
      <w:r>
        <w:br/>
      </w:r>
      <w:r>
        <w:rPr>
          <w:rStyle w:val="VerbatimChar"/>
        </w:rPr>
        <w:t xml:space="preserve">抽样（随机、按表取样本量、必要时扩大抽样）</w:t>
      </w:r>
      <w:r>
        <w:br/>
      </w:r>
      <w:r>
        <w:rPr>
          <w:rStyle w:val="VerbatimChar"/>
        </w:rPr>
        <w:t xml:space="preserve">        ↓</w:t>
      </w:r>
      <w:r>
        <w:br/>
      </w:r>
      <w:r>
        <w:rPr>
          <w:rStyle w:val="VerbatimChar"/>
        </w:rPr>
        <w:t xml:space="preserve">外观／标识 → 尺寸／配合 → 功能／性能 → 包装／随附资料</w:t>
      </w:r>
      <w:r>
        <w:br/>
      </w:r>
      <w:r>
        <w:rPr>
          <w:rStyle w:val="VerbatimChar"/>
        </w:rPr>
        <w:t xml:space="preserve">        ↓</w:t>
      </w:r>
      <w:r>
        <w:br/>
      </w:r>
      <w:r>
        <w:rPr>
          <w:rStyle w:val="VerbatimChar"/>
        </w:rPr>
        <w:t xml:space="preserve">判定 ──不合格──→ 隔离挂红标 → 开处置单 → 返工/返修/挑选/让步/降级/报废 → 重新检验 → 纠正措施闭环</w:t>
      </w:r>
      <w:r>
        <w:br/>
      </w:r>
      <w:r>
        <w:rPr>
          <w:rStyle w:val="VerbatimChar"/>
        </w:rPr>
        <w:t xml:space="preserve">        ↓ 合格</w:t>
      </w:r>
      <w:r>
        <w:br/>
      </w:r>
      <w:r>
        <w:rPr>
          <w:rStyle w:val="VerbatimChar"/>
        </w:rPr>
        <w:t xml:space="preserve">产品放行单签署（质量负责人或授权人）</w:t>
      </w:r>
      <w:r>
        <w:br/>
      </w:r>
      <w:r>
        <w:rPr>
          <w:rStyle w:val="VerbatimChar"/>
        </w:rPr>
        <w:t xml:space="preserve">        ↓</w:t>
      </w:r>
      <w:r>
        <w:br/>
      </w:r>
      <w:r>
        <w:rPr>
          <w:rStyle w:val="VerbatimChar"/>
        </w:rPr>
        <w:t xml:space="preserve">入库（按状态分区、先进先出）／出货（OQC 复核、随附资料齐套）</w:t>
      </w:r>
      <w:r>
        <w:br/>
      </w:r>
      <w:r>
        <w:rPr>
          <w:rStyle w:val="VerbatimChar"/>
        </w:rPr>
        <w:t xml:space="preserve">        ↓</w:t>
      </w:r>
      <w:r>
        <w:br/>
      </w:r>
      <w:r>
        <w:rPr>
          <w:rStyle w:val="VerbatimChar"/>
        </w:rPr>
        <w:t xml:space="preserve">留样 + 记录归档 + 月报统计</w:t>
      </w:r>
    </w:p>
    <w:p>
      <w:pPr>
        <w:pStyle w:val="Heading3"/>
      </w:pPr>
      <w:bookmarkStart w:id="36" w:name="表单引用"/>
      <w:r>
        <w:t xml:space="preserve">4.12 表单引用</w:t>
      </w:r>
      <w:bookmarkEnd w:id="36"/>
    </w:p>
    <w:tbl>
      <w:tblPr>
        <w:tblStyle w:val="Table"/>
        <w:tblW w:type="pct" w:w="0.0"/>
        <w:tblLook w:firstRow="1"/>
      </w:tblPr>
      <w:tblGrid/>
      <w:tr>
        <w:trPr>
          <w:cnfStyle w:firstRow="1"/>
        </w:trPr>
        <w:tc>
          <w:tcPr>
            <w:tcBorders>
              <w:bottom w:val="single"/>
            </w:tcBorders>
            <w:vAlign w:val="bottom"/>
          </w:tcPr>
          <w:p>
            <w:pPr>
              <w:pStyle w:val="Compact"/>
              <w:jc w:val="left"/>
            </w:pPr>
            <w:r>
              <w:t xml:space="preserve">表单名称</w:t>
            </w:r>
          </w:p>
        </w:tc>
        <w:tc>
          <w:tcPr>
            <w:tcBorders>
              <w:bottom w:val="single"/>
            </w:tcBorders>
            <w:vAlign w:val="bottom"/>
          </w:tcPr>
          <w:p>
            <w:pPr>
              <w:pStyle w:val="Compact"/>
              <w:jc w:val="left"/>
            </w:pPr>
            <w:r>
              <w:t xml:space="preserve">表单编号</w:t>
            </w:r>
          </w:p>
        </w:tc>
        <w:tc>
          <w:tcPr>
            <w:tcBorders>
              <w:bottom w:val="single"/>
            </w:tcBorders>
            <w:vAlign w:val="bottom"/>
          </w:tcPr>
          <w:p>
            <w:pPr>
              <w:pStyle w:val="Compact"/>
              <w:jc w:val="left"/>
            </w:pPr>
            <w:r>
              <w:t xml:space="preserve">填写人</w:t>
            </w:r>
          </w:p>
        </w:tc>
        <w:tc>
          <w:tcPr>
            <w:tcBorders>
              <w:bottom w:val="single"/>
            </w:tcBorders>
            <w:vAlign w:val="bottom"/>
          </w:tcPr>
          <w:p>
            <w:pPr>
              <w:pStyle w:val="Compact"/>
              <w:jc w:val="left"/>
            </w:pPr>
            <w:r>
              <w:t xml:space="preserve">归档部门</w:t>
            </w:r>
          </w:p>
        </w:tc>
        <w:tc>
          <w:tcPr>
            <w:tcBorders>
              <w:bottom w:val="single"/>
            </w:tcBorders>
            <w:vAlign w:val="bottom"/>
          </w:tcPr>
          <w:p>
            <w:pPr>
              <w:pStyle w:val="Compact"/>
              <w:jc w:val="left"/>
            </w:pPr>
            <w:r>
              <w:t xml:space="preserve">保存期限</w:t>
            </w:r>
          </w:p>
        </w:tc>
      </w:tr>
      <w:tr>
        <w:tc>
          <w:p>
            <w:pPr>
              <w:pStyle w:val="Compact"/>
              <w:jc w:val="left"/>
            </w:pPr>
            <w:r>
              <w:t xml:space="preserve">成品检验记录</w:t>
            </w:r>
          </w:p>
        </w:tc>
        <w:tc>
          <w:p>
            <w:pPr>
              <w:pStyle w:val="Compact"/>
              <w:jc w:val="left"/>
            </w:pPr>
            <w:r>
              <w:t xml:space="preserve">QR-FQC-01</w:t>
            </w:r>
          </w:p>
        </w:tc>
        <w:tc>
          <w:p>
            <w:pPr>
              <w:pStyle w:val="Compact"/>
              <w:jc w:val="left"/>
            </w:pPr>
            <w:r>
              <w:t xml:space="preserve">FQC 检验员</w:t>
            </w:r>
          </w:p>
        </w:tc>
        <w:tc>
          <w:p>
            <w:pPr>
              <w:pStyle w:val="Compact"/>
              <w:jc w:val="left"/>
            </w:pPr>
            <w:r>
              <w:t xml:space="preserve">质量部</w:t>
            </w:r>
          </w:p>
        </w:tc>
        <w:tc>
          <w:p>
            <w:pPr>
              <w:pStyle w:val="Compact"/>
              <w:jc w:val="left"/>
            </w:pPr>
            <w:r>
              <w:t xml:space="preserve">3 年</w:t>
            </w:r>
          </w:p>
        </w:tc>
      </w:tr>
      <w:tr>
        <w:tc>
          <w:p>
            <w:pPr>
              <w:pStyle w:val="Compact"/>
              <w:jc w:val="left"/>
            </w:pPr>
            <w:r>
              <w:t xml:space="preserve">出货检验记录</w:t>
            </w:r>
          </w:p>
        </w:tc>
        <w:tc>
          <w:p>
            <w:pPr>
              <w:pStyle w:val="Compact"/>
              <w:jc w:val="left"/>
            </w:pPr>
            <w:r>
              <w:t xml:space="preserve">QR-OQC-01</w:t>
            </w:r>
          </w:p>
        </w:tc>
        <w:tc>
          <w:p>
            <w:pPr>
              <w:pStyle w:val="Compact"/>
              <w:jc w:val="left"/>
            </w:pPr>
            <w:r>
              <w:t xml:space="preserve">OQC 检验员</w:t>
            </w:r>
          </w:p>
        </w:tc>
        <w:tc>
          <w:p>
            <w:pPr>
              <w:pStyle w:val="Compact"/>
              <w:jc w:val="left"/>
            </w:pPr>
            <w:r>
              <w:t xml:space="preserve">质量部</w:t>
            </w:r>
          </w:p>
        </w:tc>
        <w:tc>
          <w:p>
            <w:pPr>
              <w:pStyle w:val="Compact"/>
              <w:jc w:val="left"/>
            </w:pPr>
            <w:r>
              <w:t xml:space="preserve">3 年</w:t>
            </w:r>
          </w:p>
        </w:tc>
      </w:tr>
      <w:tr>
        <w:tc>
          <w:p>
            <w:pPr>
              <w:pStyle w:val="Compact"/>
              <w:jc w:val="left"/>
            </w:pPr>
            <w:r>
              <w:t xml:space="preserve">产品放行单</w:t>
            </w:r>
          </w:p>
        </w:tc>
        <w:tc>
          <w:p>
            <w:pPr>
              <w:pStyle w:val="Compact"/>
              <w:jc w:val="left"/>
            </w:pPr>
            <w:r>
              <w:t xml:space="preserve">QR-FQC-02</w:t>
            </w:r>
          </w:p>
        </w:tc>
        <w:tc>
          <w:p>
            <w:pPr>
              <w:pStyle w:val="Compact"/>
              <w:jc w:val="left"/>
            </w:pPr>
            <w:r>
              <w:t xml:space="preserve">质量负责人／授权人</w:t>
            </w:r>
          </w:p>
        </w:tc>
        <w:tc>
          <w:p>
            <w:pPr>
              <w:pStyle w:val="Compact"/>
              <w:jc w:val="left"/>
            </w:pPr>
            <w:r>
              <w:t xml:space="preserve">质量部</w:t>
            </w:r>
          </w:p>
        </w:tc>
        <w:tc>
          <w:p>
            <w:pPr>
              <w:pStyle w:val="Compact"/>
              <w:jc w:val="left"/>
            </w:pPr>
            <w:r>
              <w:t xml:space="preserve">3 年</w:t>
            </w:r>
          </w:p>
        </w:tc>
      </w:tr>
      <w:tr>
        <w:tc>
          <w:p>
            <w:pPr>
              <w:pStyle w:val="Compact"/>
              <w:jc w:val="left"/>
            </w:pPr>
            <w:r>
              <w:t xml:space="preserve">成品不合格处置单</w:t>
            </w:r>
          </w:p>
        </w:tc>
        <w:tc>
          <w:p>
            <w:pPr>
              <w:pStyle w:val="Compact"/>
              <w:jc w:val="left"/>
            </w:pPr>
            <w:r>
              <w:t xml:space="preserve">QR-FQC-03</w:t>
            </w:r>
          </w:p>
        </w:tc>
        <w:tc>
          <w:p>
            <w:pPr>
              <w:pStyle w:val="Compact"/>
              <w:jc w:val="left"/>
            </w:pPr>
            <w:r>
              <w:t xml:space="preserve">质量部</w:t>
            </w:r>
          </w:p>
        </w:tc>
        <w:tc>
          <w:p>
            <w:pPr>
              <w:pStyle w:val="Compact"/>
              <w:jc w:val="left"/>
            </w:pPr>
            <w:r>
              <w:t xml:space="preserve">质量部</w:t>
            </w:r>
          </w:p>
        </w:tc>
        <w:tc>
          <w:p>
            <w:pPr>
              <w:pStyle w:val="Compact"/>
              <w:jc w:val="left"/>
            </w:pPr>
            <w:r>
              <w:t xml:space="preserve">5 年</w:t>
            </w:r>
          </w:p>
        </w:tc>
      </w:tr>
      <w:tr>
        <w:tc>
          <w:p>
            <w:pPr>
              <w:pStyle w:val="Compact"/>
              <w:jc w:val="left"/>
            </w:pPr>
            <w:r>
              <w:t xml:space="preserve">留样登记台账</w:t>
            </w:r>
          </w:p>
        </w:tc>
        <w:tc>
          <w:p>
            <w:pPr>
              <w:pStyle w:val="Compact"/>
              <w:jc w:val="left"/>
            </w:pPr>
            <w:r>
              <w:t xml:space="preserve">QR-FQC-04</w:t>
            </w:r>
          </w:p>
        </w:tc>
        <w:tc>
          <w:p>
            <w:pPr>
              <w:pStyle w:val="Compact"/>
              <w:jc w:val="left"/>
            </w:pPr>
            <w:r>
              <w:t xml:space="preserve">质量部</w:t>
            </w:r>
          </w:p>
        </w:tc>
        <w:tc>
          <w:p>
            <w:pPr>
              <w:pStyle w:val="Compact"/>
              <w:jc w:val="left"/>
            </w:pPr>
            <w:r>
              <w:t xml:space="preserve">质量部</w:t>
            </w:r>
          </w:p>
        </w:tc>
        <w:tc>
          <w:p>
            <w:pPr>
              <w:pStyle w:val="Compact"/>
              <w:jc w:val="left"/>
            </w:pPr>
            <w:r>
              <w:t xml:space="preserve">3 年</w:t>
            </w:r>
          </w:p>
        </w:tc>
      </w:tr>
      <w:tr>
        <w:tc>
          <w:p>
            <w:pPr>
              <w:pStyle w:val="Compact"/>
              <w:jc w:val="left"/>
            </w:pPr>
            <w:r>
              <w:t xml:space="preserve">检验报告／质量证明书</w:t>
            </w:r>
          </w:p>
        </w:tc>
        <w:tc>
          <w:p>
            <w:pPr>
              <w:pStyle w:val="Compact"/>
              <w:jc w:val="left"/>
            </w:pPr>
            <w:r>
              <w:t xml:space="preserve">QR-FQC-05</w:t>
            </w:r>
          </w:p>
        </w:tc>
        <w:tc>
          <w:p>
            <w:pPr>
              <w:pStyle w:val="Compact"/>
              <w:jc w:val="left"/>
            </w:pPr>
            <w:r>
              <w:t xml:space="preserve">质量部</w:t>
            </w:r>
          </w:p>
        </w:tc>
        <w:tc>
          <w:p>
            <w:pPr>
              <w:pStyle w:val="Compact"/>
              <w:jc w:val="left"/>
            </w:pPr>
            <w:r>
              <w:t xml:space="preserve">质量部</w:t>
            </w:r>
          </w:p>
        </w:tc>
        <w:tc>
          <w:p>
            <w:pPr>
              <w:pStyle w:val="Compact"/>
              <w:jc w:val="left"/>
            </w:pPr>
            <w:r>
              <w:t xml:space="preserve">5 年</w:t>
            </w:r>
          </w:p>
        </w:tc>
      </w:tr>
      <w:tr>
        <w:tc>
          <w:p>
            <w:pPr>
              <w:pStyle w:val="Compact"/>
              <w:jc w:val="left"/>
            </w:pPr>
            <w:r>
              <w:t xml:space="preserve">紧急出货授权单</w:t>
            </w:r>
          </w:p>
        </w:tc>
        <w:tc>
          <w:p>
            <w:pPr>
              <w:pStyle w:val="Compact"/>
              <w:jc w:val="left"/>
            </w:pPr>
            <w:r>
              <w:t xml:space="preserve">QR-FQC-06</w:t>
            </w:r>
          </w:p>
        </w:tc>
        <w:tc>
          <w:p>
            <w:pPr>
              <w:pStyle w:val="Compact"/>
              <w:jc w:val="left"/>
            </w:pPr>
            <w:r>
              <w:t xml:space="preserve">销售部／质量负责人</w:t>
            </w:r>
          </w:p>
        </w:tc>
        <w:tc>
          <w:p>
            <w:pPr>
              <w:pStyle w:val="Compact"/>
              <w:jc w:val="left"/>
            </w:pPr>
            <w:r>
              <w:t xml:space="preserve">质量部</w:t>
            </w:r>
          </w:p>
        </w:tc>
        <w:tc>
          <w:p>
            <w:pPr>
              <w:pStyle w:val="Compact"/>
              <w:jc w:val="left"/>
            </w:pPr>
            <w:r>
              <w:t xml:space="preserve">3 年</w:t>
            </w:r>
          </w:p>
        </w:tc>
      </w:tr>
    </w:tbl>
    <w:p>
      <w:pPr>
        <w:pStyle w:val="Heading2"/>
      </w:pPr>
      <w:bookmarkStart w:id="37" w:name="五相关记录"/>
      <w:r>
        <w:t xml:space="preserve">五、相关记录</w:t>
      </w:r>
      <w:bookmarkEnd w:id="37"/>
    </w:p>
    <w:p>
      <w:pPr>
        <w:pStyle w:val="FirstParagraph"/>
      </w:pPr>
      <w:r>
        <w:t xml:space="preserve">5.1 《成品检验记录》：字段包括检验日期、批次号、产品名称与型号、订单号、批量、抽样方案（样本量／AQL）、检验项目、规格要求、实测值与判定、使用设备与量具编号、不合格数、批判定结论、检验员签署、质量负责人审核。示例行：2026-09-14／批 260914-B／某型号控制器 200 台／订单 SO-26091／批量 180／样本 32／AQL 0.65／外观与通电功能／无划痕、通电正常、绝缘电阻≥100MΩ／实测 350MΩ／合格 0 件不合格／判定合格／××／××。</w:t>
      </w:r>
    </w:p>
    <w:p>
      <w:pPr>
        <w:pStyle w:val="BodyText"/>
      </w:pPr>
      <w:r>
        <w:t xml:space="preserve">5.2 《出货检验记录》：字段包括发运日期、发货单号、顾客名称、产品型号、发货数量、核对项（型号、数量、标签、包装、随附资料、批号）、抽检结果、异常描述与处理、检验员、仓储部确认。示例行：2026-09-15／DN-260915-01／某客户／某型号控制器／180 台／标签与装箱单核对一致、抽 8 箱包装完好／无异常／—／××／××。</w:t>
      </w:r>
    </w:p>
    <w:p>
      <w:pPr>
        <w:pStyle w:val="BodyText"/>
      </w:pPr>
      <w:r>
        <w:t xml:space="preserve">5.3 《产品放行单》：字段包括批次号、产品名称与数量、检验完成情况、不合格项闭环状态、顾客特殊要求满足情况、让步接收说明（如有）、放行结论、批准人签署与日期。示例行：批 260914-B／某型号控制器 180 台／检验项目全部完成／无未闭环项／已附检验报告／同意放行／××／2026-09-14。</w:t>
      </w:r>
    </w:p>
    <w:p>
      <w:pPr>
        <w:pStyle w:val="BodyText"/>
      </w:pPr>
      <w:r>
        <w:t xml:space="preserve">5.4 《成品不合格处置单》：字段包括发现时间与环节、批次与数量、缺陷描述与照片编号、缺陷分类（致命/严重/轻微）、影响范围、原因初步分析、处置方式、责任部门、批准人、纠正措施编号、重新检验结论、关闭日期。</w:t>
      </w:r>
    </w:p>
    <w:p>
      <w:pPr>
        <w:pStyle w:val="BodyText"/>
      </w:pPr>
      <w:r>
        <w:t xml:space="preserve">5.5 《留样登记台账》：字段包括留样编号、产品名称与型号、批次号、留样数量、留样日期、留样原因、保存期限、存放位置、领用与处置记录、经办人。</w:t>
      </w:r>
    </w:p>
    <w:p>
      <w:pPr>
        <w:pStyle w:val="BodyText"/>
      </w:pPr>
      <w:r>
        <w:t xml:space="preserve">5.6 《检验报告／质量证明书》：字段包括报告编号、顾客名称、产品名称与型号、批次号与数量、检验依据（标准与规范编号）、检验项目与结果、结论、签发人、签发日期、检验专用章。</w:t>
      </w:r>
    </w:p>
    <w:p>
      <w:pPr>
        <w:pStyle w:val="BodyText"/>
      </w:pPr>
      <w:r>
        <w:t xml:space="preserve">5.7 《紧急出货授权单》：字段包括申请日期、顾客名称、产品与批次、未完成检验项目及原因、顾客意见（联系人、日期）、补齐时限承诺、质量负责人批准、发运确认、逾期未补齐的后续处理结果。</w:t>
      </w:r>
    </w:p>
    <w:p>
      <w:pPr>
        <w:pStyle w:val="Heading2"/>
      </w:pPr>
      <w:bookmarkStart w:id="38" w:name="六相关文件"/>
      <w:r>
        <w:t xml:space="preserve">六、相关文件</w:t>
      </w:r>
      <w:bookmarkEnd w:id="38"/>
    </w:p>
    <w:p>
      <w:pPr>
        <w:pStyle w:val="FirstParagraph"/>
      </w:pPr>
      <w:r>
        <w:t xml:space="preserve">6.1 《产品放行控制程序》（套包第 21 篇）</w:t>
      </w:r>
    </w:p>
    <w:p>
      <w:pPr>
        <w:pStyle w:val="BodyText"/>
      </w:pPr>
      <w:r>
        <w:t xml:space="preserve">6.2 《生产过程控制程序》（套包第 17 篇）</w:t>
      </w:r>
    </w:p>
    <w:p>
      <w:pPr>
        <w:pStyle w:val="BodyText"/>
      </w:pPr>
      <w:r>
        <w:t xml:space="preserve">6.3 《不合格品控制程序》（套包第 22 篇）</w:t>
      </w:r>
    </w:p>
    <w:p>
      <w:pPr>
        <w:pStyle w:val="BodyText"/>
      </w:pPr>
      <w:r>
        <w:t xml:space="preserve">6.4 《不合格与纠正措施程序》（套包第 27 篇）</w:t>
      </w:r>
    </w:p>
    <w:p>
      <w:pPr>
        <w:pStyle w:val="BodyText"/>
      </w:pPr>
      <w:r>
        <w:t xml:space="preserve">6.5 《标识和可追溯性控制程序》（套包第 18 篇）</w:t>
      </w:r>
    </w:p>
    <w:p>
      <w:pPr>
        <w:pStyle w:val="BodyText"/>
      </w:pPr>
      <w:r>
        <w:t xml:space="preserve">6.6 《产品防护控制程序》（套包第 20 篇）</w:t>
      </w:r>
    </w:p>
    <w:p>
      <w:pPr>
        <w:pStyle w:val="BodyText"/>
      </w:pPr>
      <w:r>
        <w:t xml:space="preserve">6.7 《监视和测量资源控制程序》（套包第 10 篇）</w:t>
      </w:r>
    </w:p>
    <w:p>
      <w:pPr>
        <w:pStyle w:val="BodyText"/>
      </w:pPr>
      <w:r>
        <w:t xml:space="preserve">6.8 《记录控制程序》（套包第 4 篇）</w:t>
      </w:r>
    </w:p>
    <w:p>
      <w:pPr>
        <w:pStyle w:val="BodyText"/>
      </w:pPr>
      <w:r>
        <w:t xml:space="preserve">6.9 产品图纸、技术条件、技术协议与顾客验收规范；GB/T 2828.1 计数抽样检验程序</w:t>
      </w:r>
    </w:p>
    <w:p>
      <w:pPr>
        <w:pStyle w:val="BodyText"/>
      </w:pPr>
      <w:r>
        <w:t xml:space="preserve">6.10 GB/T 19001—2016／ISO 9001:2015 质量管理体系 要求</w:t>
      </w:r>
    </w:p>
    <w:p>
      <w:pPr>
        <w:pStyle w:val="Heading2"/>
      </w:pPr>
      <w:bookmarkStart w:id="39" w:name="使用说明"/>
      <w:r>
        <w:t xml:space="preserve">使用说明</w:t>
      </w:r>
      <w:bookmarkEnd w:id="39"/>
    </w:p>
    <w:p>
      <w:pPr>
        <w:pStyle w:val="FirstParagraph"/>
      </w:pPr>
      <w:r>
        <w:rPr>
          <w:b/>
        </w:rPr>
        <w:t xml:space="preserve">一、如何按企业实际修改</w:t>
      </w:r>
    </w:p>
    <w:p>
      <w:pPr>
        <w:numPr>
          <w:ilvl w:val="0"/>
          <w:numId w:val="1004"/>
        </w:numPr>
      </w:pPr>
      <w:r>
        <w:rPr>
          <w:b/>
        </w:rPr>
        <w:t xml:space="preserve">抽样方案本地化</w:t>
      </w:r>
      <w:r>
        <w:t xml:space="preserve">：第 4.3.1 条表格给出的是通用基准。企业应结合历史一次交验合格率、顾客投诉数据与产品风险确定 AQL 值：成熟稳定产品可维持或适度放宽轻微缺陷 AQL，但致命与安全相关项目的允许数应保持为 0；顾客合同中已有抽样规定的，直接使用顾客方案并在规范中注明出处，避免现场出现两套抽样规则。</w:t>
      </w:r>
    </w:p>
    <w:p>
      <w:pPr>
        <w:numPr>
          <w:ilvl w:val="0"/>
          <w:numId w:val="1004"/>
        </w:numPr>
      </w:pPr>
      <w:r>
        <w:rPr>
          <w:b/>
        </w:rPr>
        <w:t xml:space="preserve">检验项目与产品适配</w:t>
      </w:r>
      <w:r>
        <w:t xml:space="preserve">：第 4.2.1 条的五个维度是骨架。机加工企业重点补尺寸链与配合项目，电子企业补电气安全与老化筛试，食品与化妆企业补微生物、理化与标签法规核对，软件企业补功能路径与版本一致性验证。凡是</w:t>
      </w:r>
      <w:r>
        <w:t xml:space="preserve">“</w:t>
      </w:r>
      <w:r>
        <w:t xml:space="preserve">过程工艺已充分保证</w:t>
      </w:r>
      <w:r>
        <w:t xml:space="preserve">”</w:t>
      </w:r>
      <w:r>
        <w:t xml:space="preserve">的项目，可以抽检替代全检，但必须有过程能力数据或控制图作为支撑证据，并在规范中写明替代理由。</w:t>
      </w:r>
    </w:p>
    <w:p>
      <w:pPr>
        <w:numPr>
          <w:ilvl w:val="0"/>
          <w:numId w:val="1004"/>
        </w:numPr>
      </w:pPr>
      <w:r>
        <w:rPr>
          <w:b/>
        </w:rPr>
        <w:t xml:space="preserve">组织与岗位适配</w:t>
      </w:r>
      <w:r>
        <w:t xml:space="preserve">：中小企业可将 FQC 与 OQC 合并由同一组人承担，但出货复核宜由不同人员执行，形成相互校验；无独立质量部门的企业应至少指定放行批准人并书面授权。多厂区企业须明确各地成品检验由谁执行、记录如何汇总、放行批准权是否下放，避免出现</w:t>
      </w:r>
      <w:r>
        <w:t xml:space="preserve">“</w:t>
      </w:r>
      <w:r>
        <w:t xml:space="preserve">总部以为分厂检了、分厂以为总部会检</w:t>
      </w:r>
      <w:r>
        <w:t xml:space="preserve">”</w:t>
      </w:r>
      <w:r>
        <w:t xml:space="preserve">的真空。</w:t>
      </w:r>
    </w:p>
    <w:p>
      <w:pPr>
        <w:numPr>
          <w:ilvl w:val="0"/>
          <w:numId w:val="1004"/>
        </w:numPr>
      </w:pPr>
      <w:r>
        <w:rPr>
          <w:b/>
        </w:rPr>
        <w:t xml:space="preserve">与既有文件的衔接</w:t>
      </w:r>
      <w:r>
        <w:t xml:space="preserve">：程序文件已规定的原则（如放行职责、状态标识规则）不必重复抄录，引用编号即可。若企业已有《检验规程》或客户 SIP，可将其作为本指导书的附件，避免多头文件冲突；本指导书与《进货检验作业指导书》（套包第 34 篇）、《过程检验作业指导书》（套包第 35 篇）共同构成三段检验链，三者对不合格处置、记录填写的要求应保持一致。</w:t>
      </w:r>
    </w:p>
    <w:p>
      <w:pPr>
        <w:pStyle w:val="FirstParagraph"/>
      </w:pPr>
      <w:r>
        <w:rPr>
          <w:b/>
        </w:rPr>
        <w:t xml:space="preserve">二、审核关注点</w:t>
      </w:r>
    </w:p>
    <w:p>
      <w:pPr>
        <w:numPr>
          <w:ilvl w:val="0"/>
          <w:numId w:val="1005"/>
        </w:numPr>
        <w:pStyle w:val="Compact"/>
      </w:pPr>
      <w:r>
        <w:t xml:space="preserve">检验规范是否为现行有效版本，与图纸、技术协议、顾客验收标准是否一致；现场使用的规范有无</w:t>
      </w:r>
      <w:r>
        <w:t xml:space="preserve">“</w:t>
      </w:r>
      <w:r>
        <w:t xml:space="preserve">改过一处未同步</w:t>
      </w:r>
      <w:r>
        <w:t xml:space="preserve">”</w:t>
      </w:r>
      <w:r>
        <w:t xml:space="preserve">的版本偏差；</w:t>
      </w:r>
    </w:p>
    <w:p>
      <w:pPr>
        <w:numPr>
          <w:ilvl w:val="0"/>
          <w:numId w:val="1005"/>
        </w:numPr>
        <w:pStyle w:val="Compact"/>
      </w:pPr>
      <w:r>
        <w:t xml:space="preserve">抽样是否真实随机、样本量是否符合规范表格；有无只抽外观件、只抽已自检合格品、样本量刻意取小的情形；</w:t>
      </w:r>
    </w:p>
    <w:p>
      <w:pPr>
        <w:numPr>
          <w:ilvl w:val="0"/>
          <w:numId w:val="1005"/>
        </w:numPr>
        <w:pStyle w:val="Compact"/>
      </w:pPr>
      <w:r>
        <w:t xml:space="preserve">记录是否填写实测值与量具编号，是否存在同一时间批量补填的痕迹；</w:t>
      </w:r>
    </w:p>
    <w:p>
      <w:pPr>
        <w:numPr>
          <w:ilvl w:val="0"/>
          <w:numId w:val="1005"/>
        </w:numPr>
        <w:pStyle w:val="Compact"/>
      </w:pPr>
      <w:r>
        <w:t xml:space="preserve">致命缺陷与安全项目的检验方式是否与规范一致，是否真正做到允许数为 0；</w:t>
      </w:r>
    </w:p>
    <w:p>
      <w:pPr>
        <w:numPr>
          <w:ilvl w:val="0"/>
          <w:numId w:val="1005"/>
        </w:numPr>
        <w:pStyle w:val="Compact"/>
      </w:pPr>
      <w:r>
        <w:t xml:space="preserve">放行签署人是否为书面授权人，签署日期是否早于实际发运日期，有无</w:t>
      </w:r>
      <w:r>
        <w:t xml:space="preserve">“</w:t>
      </w:r>
      <w:r>
        <w:t xml:space="preserve">先发货后补签</w:t>
      </w:r>
      <w:r>
        <w:t xml:space="preserve">”</w:t>
      </w:r>
      <w:r>
        <w:t xml:space="preserve">；</w:t>
      </w:r>
    </w:p>
    <w:p>
      <w:pPr>
        <w:numPr>
          <w:ilvl w:val="0"/>
          <w:numId w:val="1005"/>
        </w:numPr>
        <w:pStyle w:val="Compact"/>
      </w:pPr>
      <w:r>
        <w:t xml:space="preserve">不合格批次是否真实隔离、处置单是否闭环、重新检验是否有结论；</w:t>
      </w:r>
    </w:p>
    <w:p>
      <w:pPr>
        <w:numPr>
          <w:ilvl w:val="0"/>
          <w:numId w:val="1005"/>
        </w:numPr>
        <w:pStyle w:val="Compact"/>
      </w:pPr>
      <w:r>
        <w:t xml:space="preserve">让步接收是否有技术评审、顾客同意与批准记录，让步产品是否加施标识与限制有效期；</w:t>
      </w:r>
    </w:p>
    <w:p>
      <w:pPr>
        <w:numPr>
          <w:ilvl w:val="0"/>
          <w:numId w:val="1005"/>
        </w:numPr>
        <w:pStyle w:val="Compact"/>
      </w:pPr>
      <w:r>
        <w:t xml:space="preserve">留样数量、期限、存放条件是否符合文件规定，留样台账与实际留样是否对得上；</w:t>
      </w:r>
    </w:p>
    <w:p>
      <w:pPr>
        <w:numPr>
          <w:ilvl w:val="0"/>
          <w:numId w:val="1005"/>
        </w:numPr>
        <w:pStyle w:val="Compact"/>
      </w:pPr>
      <w:r>
        <w:t xml:space="preserve">顾客要求提交的检验报告，其批号与数据是否与原始记录一致（审核员常做交叉核对）；</w:t>
      </w:r>
    </w:p>
    <w:p>
      <w:pPr>
        <w:numPr>
          <w:ilvl w:val="0"/>
          <w:numId w:val="1005"/>
        </w:numPr>
        <w:pStyle w:val="Compact"/>
      </w:pPr>
      <w:r>
        <w:t xml:space="preserve">成品一次交验合格率与不合格分布的月报是否真实反映问题并进入管理评审输入。</w:t>
      </w:r>
    </w:p>
    <w:p>
      <w:pPr>
        <w:pStyle w:val="FirstParagraph"/>
      </w:pPr>
      <w:r>
        <w:rPr>
          <w:b/>
        </w:rPr>
        <w:t xml:space="preserve">三、常见错误</w:t>
      </w:r>
    </w:p>
    <w:p>
      <w:pPr>
        <w:numPr>
          <w:ilvl w:val="0"/>
          <w:numId w:val="1006"/>
        </w:numPr>
      </w:pPr>
      <w:r>
        <w:rPr>
          <w:b/>
        </w:rPr>
        <w:t xml:space="preserve">以过程检验代替成品检验</w:t>
      </w:r>
      <w:r>
        <w:t xml:space="preserve">：认为过程各工序都检过了，成品只需盖章放行，结果装配性缺陷、包装缺陷、标识错误在顾客端暴露。</w:t>
      </w:r>
    </w:p>
    <w:p>
      <w:pPr>
        <w:numPr>
          <w:ilvl w:val="0"/>
          <w:numId w:val="1006"/>
        </w:numPr>
      </w:pPr>
      <w:r>
        <w:rPr>
          <w:b/>
        </w:rPr>
        <w:t xml:space="preserve">抽样走过场</w:t>
      </w:r>
      <w:r>
        <w:t xml:space="preserve">：样本量按文件填写但实际只查 1～2 件，或全部从同一箱中抽取；一旦顾客开箱检验就出现批量不合格。</w:t>
      </w:r>
    </w:p>
    <w:p>
      <w:pPr>
        <w:numPr>
          <w:ilvl w:val="0"/>
          <w:numId w:val="1006"/>
        </w:numPr>
      </w:pPr>
      <w:r>
        <w:rPr>
          <w:b/>
        </w:rPr>
        <w:t xml:space="preserve">记录只写结论</w:t>
      </w:r>
      <w:r>
        <w:t xml:space="preserve">：外观栏一律写</w:t>
      </w:r>
      <w:r>
        <w:t xml:space="preserve">“</w:t>
      </w:r>
      <w:r>
        <w:t xml:space="preserve">合格</w:t>
      </w:r>
      <w:r>
        <w:t xml:space="preserve">”</w:t>
      </w:r>
      <w:r>
        <w:t xml:space="preserve">，没有实测值、没有量具编号、没有不合格分类，检验过程不可复现。</w:t>
      </w:r>
    </w:p>
    <w:p>
      <w:pPr>
        <w:numPr>
          <w:ilvl w:val="0"/>
          <w:numId w:val="1006"/>
        </w:numPr>
      </w:pPr>
      <w:r>
        <w:rPr>
          <w:b/>
        </w:rPr>
        <w:t xml:space="preserve">放行签字越权</w:t>
      </w:r>
      <w:r>
        <w:t xml:space="preserve">：检验员自行批准放行，或无授权人代签，审核时被判为放行控制失效，属严重不符合的高发点。</w:t>
      </w:r>
    </w:p>
    <w:p>
      <w:pPr>
        <w:numPr>
          <w:ilvl w:val="0"/>
          <w:numId w:val="1006"/>
        </w:numPr>
      </w:pPr>
      <w:r>
        <w:rPr>
          <w:b/>
        </w:rPr>
        <w:t xml:space="preserve">不合格批处理随意</w:t>
      </w:r>
      <w:r>
        <w:t xml:space="preserve">：判定不合格后不隔离、以</w:t>
      </w:r>
      <w:r>
        <w:t xml:space="preserve">“</w:t>
      </w:r>
      <w:r>
        <w:t xml:space="preserve">挑一批好的先发</w:t>
      </w:r>
      <w:r>
        <w:t xml:space="preserve">”</w:t>
      </w:r>
      <w:r>
        <w:t xml:space="preserve">应对交期，导致不合格品与合格品混流，追溯范围失控。</w:t>
      </w:r>
    </w:p>
    <w:p>
      <w:pPr>
        <w:numPr>
          <w:ilvl w:val="0"/>
          <w:numId w:val="1006"/>
        </w:numPr>
      </w:pPr>
      <w:r>
        <w:rPr>
          <w:b/>
        </w:rPr>
        <w:t xml:space="preserve">返工品未复检</w:t>
      </w:r>
      <w:r>
        <w:t xml:space="preserve">：返工返修后凭返工记录直接入库，未重新执行成品检验，原缺陷之外引入了新缺陷。</w:t>
      </w:r>
    </w:p>
    <w:p>
      <w:pPr>
        <w:numPr>
          <w:ilvl w:val="0"/>
          <w:numId w:val="1006"/>
        </w:numPr>
      </w:pPr>
      <w:r>
        <w:rPr>
          <w:b/>
        </w:rPr>
        <w:t xml:space="preserve">盲目让步接收</w:t>
      </w:r>
      <w:r>
        <w:t xml:space="preserve">：以</w:t>
      </w:r>
      <w:r>
        <w:t xml:space="preserve">“</w:t>
      </w:r>
      <w:r>
        <w:t xml:space="preserve">客户不会发现</w:t>
      </w:r>
      <w:r>
        <w:t xml:space="preserve">”</w:t>
      </w:r>
      <w:r>
        <w:t xml:space="preserve">为由自行让步接收，未经技术评审与顾客同意，一旦引发顾客投诉或安全事件，责任无法界定。</w:t>
      </w:r>
    </w:p>
    <w:p>
      <w:pPr>
        <w:numPr>
          <w:ilvl w:val="0"/>
          <w:numId w:val="1006"/>
        </w:numPr>
      </w:pPr>
      <w:r>
        <w:rPr>
          <w:b/>
        </w:rPr>
        <w:t xml:space="preserve">包装与标识漏检</w:t>
      </w:r>
      <w:r>
        <w:t xml:space="preserve">：只检产品不检包装与标签，出现型号标错、批号缺失、警示语遗漏、随附资料错版本等交付类不合格。</w:t>
      </w:r>
    </w:p>
    <w:p>
      <w:pPr>
        <w:numPr>
          <w:ilvl w:val="0"/>
          <w:numId w:val="1006"/>
        </w:numPr>
      </w:pPr>
      <w:r>
        <w:rPr>
          <w:b/>
        </w:rPr>
        <w:t xml:space="preserve">留样形同虚设</w:t>
      </w:r>
      <w:r>
        <w:t xml:space="preserve">：留样数量不足、无标识、存放环境恶劣，出现质量争议时无法提供有效对比件，无法自证产品出厂状态。</w:t>
      </w:r>
    </w:p>
    <w:p>
      <w:pPr>
        <w:numPr>
          <w:ilvl w:val="0"/>
          <w:numId w:val="1006"/>
        </w:numPr>
      </w:pPr>
      <w:r>
        <w:rPr>
          <w:b/>
        </w:rPr>
        <w:t xml:space="preserve">数据不闭环</w:t>
      </w:r>
      <w:r>
        <w:t xml:space="preserve">：成品检验数据月月统计，却从未与过程检验、供应商质量联动分析，同一类缺陷在不同批次反复发生。</w:t>
      </w:r>
    </w:p>
    <w:p>
      <w:r>
        <w:pict>
          <v:rect style="width:0;height:1.5pt" o:hralign="center" o:hrstd="t" o:hr="t"/>
        </w:pict>
      </w:r>
    </w:p>
    <w:p>
      <w:pPr>
        <w:pStyle w:val="BlockText"/>
      </w:pPr>
      <w:r>
        <w:t xml:space="preserve">成品出门前，抽得随机、测得留痕、签得有权</w:t>
      </w:r>
    </w:p>
    <w:p>
      <w:pPr>
        <w:pStyle w:val="FirstParagraph"/>
      </w:pPr>
      <w:r>
        <w:t xml:space="preserve">知识编号：2.3.1</w:t>
      </w:r>
    </w:p>
    <w:p>
      <w:pPr>
        <w:pStyle w:val="BodyText"/>
      </w:pPr>
      <w:r>
        <w:t xml:space="preserve">版本：v20260809</w:t>
      </w:r>
    </w:p>
    <w:p>
      <w:pPr>
        <w:pStyle w:val="BodyText"/>
      </w:pPr>
      <w:r>
        <w:t xml:space="preserve">作者：卓越质量智库</w:t>
      </w:r>
      <w:r>
        <w:t xml:space="preserve"> </w:t>
      </w:r>
      <w:r>
        <w:rPr>
          <w:i/>
        </w:rPr>
        <w:t xml:space="preserve">卓越质量智库致力于为质量管理从业者提供系统化的专业知识、方法论与实战工具，助力企业质量能力持续提升。</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2026-09-14T04:40:01Z</dcterms:created>
  <dcterms:modified xsi:type="dcterms:W3CDTF">2026-09-14T04:40:01Z</dcterms:modified>
</cp:coreProperties>
</file>

<file path=docProps/custom.xml><?xml version="1.0" encoding="utf-8"?>
<Properties xmlns="http://schemas.openxmlformats.org/officeDocument/2006/custom-properties" xmlns:vt="http://schemas.openxmlformats.org/officeDocument/2006/docPropsVTypes"/>
</file>